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71" w:rsidRPr="00327471" w:rsidRDefault="00452813" w:rsidP="004320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Equivalent Expression Matchup and Presentations</w:t>
      </w:r>
    </w:p>
    <w:p w:rsidR="00432076" w:rsidRDefault="00B55CBD" w:rsidP="0043207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Adapted from the book</w:t>
      </w:r>
      <w:r w:rsidR="001B1F5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 xml:space="preserve">Beyond Pizzas and Pies: </w:t>
      </w:r>
      <w:r w:rsidR="001B1F5E" w:rsidRPr="001B1F5E">
        <w:rPr>
          <w:i/>
          <w:sz w:val="24"/>
          <w:szCs w:val="24"/>
          <w:u w:val="single"/>
        </w:rPr>
        <w:t>10 Essential Strategies for Supporting Fraction Sense</w:t>
      </w:r>
    </w:p>
    <w:p w:rsidR="00432076" w:rsidRPr="0001036A" w:rsidRDefault="00432076" w:rsidP="00A112DC">
      <w:pPr>
        <w:jc w:val="center"/>
        <w:rPr>
          <w:b/>
          <w:sz w:val="24"/>
          <w:szCs w:val="24"/>
        </w:rPr>
      </w:pPr>
    </w:p>
    <w:p w:rsidR="00FA016B" w:rsidRDefault="0002497F" w:rsidP="0002497F">
      <w:pPr>
        <w:rPr>
          <w:sz w:val="24"/>
          <w:szCs w:val="24"/>
        </w:rPr>
      </w:pPr>
      <w:r w:rsidRPr="0001036A">
        <w:rPr>
          <w:b/>
          <w:sz w:val="24"/>
          <w:szCs w:val="24"/>
        </w:rPr>
        <w:t>Student Objective:</w:t>
      </w:r>
      <w:r w:rsidRPr="0001036A">
        <w:rPr>
          <w:sz w:val="24"/>
          <w:szCs w:val="24"/>
        </w:rPr>
        <w:t xml:space="preserve">  “</w:t>
      </w:r>
      <w:r w:rsidR="00452813">
        <w:rPr>
          <w:sz w:val="24"/>
          <w:szCs w:val="24"/>
        </w:rPr>
        <w:t>I can find equivalent fractions and show how they are equivalent in multiple ways</w:t>
      </w:r>
      <w:r w:rsidR="0028486B">
        <w:rPr>
          <w:sz w:val="24"/>
          <w:szCs w:val="24"/>
        </w:rPr>
        <w:t>.</w:t>
      </w:r>
      <w:r w:rsidR="002E3B14">
        <w:rPr>
          <w:sz w:val="24"/>
          <w:szCs w:val="24"/>
        </w:rPr>
        <w:t>”</w:t>
      </w:r>
    </w:p>
    <w:p w:rsidR="002E3B14" w:rsidRPr="00452813" w:rsidRDefault="00452813" w:rsidP="0002497F">
      <w:pPr>
        <w:rPr>
          <w:i/>
          <w:sz w:val="24"/>
          <w:szCs w:val="24"/>
        </w:rPr>
      </w:pPr>
      <w:r w:rsidRPr="00452813">
        <w:rPr>
          <w:i/>
          <w:sz w:val="24"/>
          <w:szCs w:val="24"/>
        </w:rPr>
        <w:t>***This lesson is designed for a culminating activity dealing with fraction equivalence.</w:t>
      </w:r>
    </w:p>
    <w:p w:rsidR="00452813" w:rsidRPr="0001036A" w:rsidRDefault="00452813" w:rsidP="0002497F">
      <w:pPr>
        <w:rPr>
          <w:b/>
          <w:sz w:val="24"/>
          <w:szCs w:val="24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8"/>
        <w:gridCol w:w="2250"/>
      </w:tblGrid>
      <w:tr w:rsidR="0001036A" w:rsidRPr="0001036A" w:rsidTr="005F3492">
        <w:tc>
          <w:tcPr>
            <w:tcW w:w="8928" w:type="dxa"/>
          </w:tcPr>
          <w:p w:rsidR="00FA016B" w:rsidRPr="0001036A" w:rsidRDefault="005F3492" w:rsidP="0002497F">
            <w:pPr>
              <w:rPr>
                <w:b/>
                <w:sz w:val="24"/>
                <w:szCs w:val="24"/>
              </w:rPr>
            </w:pPr>
            <w:r w:rsidRPr="0001036A">
              <w:rPr>
                <w:b/>
                <w:sz w:val="24"/>
                <w:szCs w:val="24"/>
              </w:rPr>
              <w:t>Standard</w:t>
            </w:r>
            <w:r>
              <w:rPr>
                <w:b/>
                <w:sz w:val="24"/>
                <w:szCs w:val="24"/>
              </w:rPr>
              <w:t>s to Measure</w:t>
            </w:r>
            <w:r w:rsidRPr="000103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FA016B" w:rsidRPr="0001036A" w:rsidRDefault="00FA016B" w:rsidP="0002497F">
            <w:pPr>
              <w:rPr>
                <w:b/>
                <w:sz w:val="24"/>
                <w:szCs w:val="24"/>
              </w:rPr>
            </w:pPr>
            <w:r w:rsidRPr="0001036A">
              <w:rPr>
                <w:b/>
                <w:sz w:val="24"/>
                <w:szCs w:val="24"/>
              </w:rPr>
              <w:t>Mathematical Practices</w:t>
            </w:r>
          </w:p>
        </w:tc>
      </w:tr>
      <w:tr w:rsidR="00FA016B" w:rsidRPr="0001036A" w:rsidTr="005F3492">
        <w:tc>
          <w:tcPr>
            <w:tcW w:w="8928" w:type="dxa"/>
          </w:tcPr>
          <w:p w:rsidR="00452813" w:rsidRDefault="00452813" w:rsidP="005F3492">
            <w:pPr>
              <w:autoSpaceDE w:val="0"/>
              <w:autoSpaceDN w:val="0"/>
              <w:adjustRightInd w:val="0"/>
              <w:rPr>
                <w:rFonts w:ascii="Arial-BoldMS" w:hAnsi="Arial-BoldMS" w:cs="Arial-BoldMS"/>
                <w:b/>
                <w:bCs/>
                <w:color w:val="141413"/>
              </w:rPr>
            </w:pPr>
          </w:p>
          <w:p w:rsidR="0028486B" w:rsidRPr="00452813" w:rsidRDefault="00B55CBD" w:rsidP="005F3492">
            <w:pPr>
              <w:autoSpaceDE w:val="0"/>
              <w:autoSpaceDN w:val="0"/>
              <w:adjustRightInd w:val="0"/>
              <w:rPr>
                <w:rFonts w:ascii="Arial-BoldMS" w:hAnsi="Arial-BoldMS" w:cs="Arial-BoldMS"/>
                <w:bCs/>
                <w:color w:val="141413"/>
              </w:rPr>
            </w:pPr>
            <w:r>
              <w:rPr>
                <w:rFonts w:ascii="Arial-BoldMS" w:hAnsi="Arial-BoldMS" w:cs="Arial-BoldMS"/>
                <w:b/>
                <w:bCs/>
                <w:color w:val="141413"/>
              </w:rPr>
              <w:t>3. NF.3</w:t>
            </w:r>
            <w:r w:rsidR="00327471">
              <w:rPr>
                <w:rFonts w:ascii="Arial-BoldMS" w:hAnsi="Arial-BoldMS" w:cs="Arial-BoldMS"/>
                <w:b/>
                <w:bCs/>
                <w:color w:val="141413"/>
              </w:rPr>
              <w:t xml:space="preserve"> </w:t>
            </w:r>
            <w:r w:rsidR="00327471" w:rsidRPr="00452813">
              <w:rPr>
                <w:rFonts w:ascii="Arial-BoldMS" w:hAnsi="Arial-BoldMS" w:cs="Arial-BoldMS"/>
                <w:bCs/>
                <w:color w:val="141413"/>
              </w:rPr>
              <w:t>Explain equivalence of fractions in special cases, and compare fractions by reasoning about their size.</w:t>
            </w:r>
          </w:p>
          <w:p w:rsidR="00327471" w:rsidRPr="00452813" w:rsidRDefault="00327471" w:rsidP="005F3492">
            <w:pPr>
              <w:autoSpaceDE w:val="0"/>
              <w:autoSpaceDN w:val="0"/>
              <w:adjustRightInd w:val="0"/>
              <w:rPr>
                <w:rFonts w:ascii="Arial-BoldMS" w:hAnsi="Arial-BoldMS" w:cs="Arial-BoldMS"/>
                <w:bCs/>
                <w:color w:val="141413"/>
              </w:rPr>
            </w:pPr>
            <w:r w:rsidRPr="00452813">
              <w:rPr>
                <w:rFonts w:ascii="Arial-BoldMS" w:hAnsi="Arial-BoldMS" w:cs="Arial-BoldMS"/>
                <w:b/>
                <w:bCs/>
                <w:color w:val="141413"/>
              </w:rPr>
              <w:t>a.</w:t>
            </w:r>
            <w:r w:rsidR="00B55CBD">
              <w:rPr>
                <w:rFonts w:ascii="Arial-BoldMS" w:hAnsi="Arial-BoldMS" w:cs="Arial-BoldMS"/>
                <w:bCs/>
                <w:color w:val="141413"/>
              </w:rPr>
              <w:t xml:space="preserve"> </w:t>
            </w:r>
            <w:r w:rsidRPr="00452813">
              <w:rPr>
                <w:rFonts w:ascii="Arial-BoldMS" w:hAnsi="Arial-BoldMS" w:cs="Arial-BoldMS"/>
                <w:bCs/>
                <w:color w:val="141413"/>
              </w:rPr>
              <w:t>Understand two fractions as equivalent (equal) if they are the same size, or the same point on a number line.</w:t>
            </w:r>
          </w:p>
          <w:p w:rsidR="00452813" w:rsidRPr="00452813" w:rsidRDefault="00452813" w:rsidP="005F3492">
            <w:pPr>
              <w:autoSpaceDE w:val="0"/>
              <w:autoSpaceDN w:val="0"/>
              <w:adjustRightInd w:val="0"/>
              <w:rPr>
                <w:rFonts w:ascii="Arial-BoldMS" w:hAnsi="Arial-BoldMS" w:cs="Arial-BoldMS"/>
                <w:bCs/>
                <w:color w:val="141413"/>
              </w:rPr>
            </w:pPr>
            <w:r w:rsidRPr="00452813">
              <w:rPr>
                <w:rFonts w:ascii="Arial-BoldMS" w:hAnsi="Arial-BoldMS" w:cs="Arial-BoldMS"/>
                <w:b/>
                <w:bCs/>
                <w:color w:val="141413"/>
              </w:rPr>
              <w:t>b.</w:t>
            </w:r>
            <w:r w:rsidR="00B55CBD">
              <w:rPr>
                <w:rFonts w:ascii="Arial-BoldMS" w:hAnsi="Arial-BoldMS" w:cs="Arial-BoldMS"/>
                <w:bCs/>
                <w:color w:val="141413"/>
              </w:rPr>
              <w:t xml:space="preserve"> </w:t>
            </w:r>
            <w:r w:rsidRPr="00452813">
              <w:rPr>
                <w:rFonts w:ascii="Arial-BoldMS" w:hAnsi="Arial-BoldMS" w:cs="Arial-BoldMS"/>
                <w:bCs/>
                <w:color w:val="141413"/>
              </w:rPr>
              <w:t>Recognize and generate simple equivalent fractions, e.g. 1/2=2/4, 4/6=2/3.  Explain why the fractions are equivalent, e.g., by using a visual fraction model.</w:t>
            </w:r>
          </w:p>
          <w:p w:rsidR="00327471" w:rsidRPr="0028486B" w:rsidRDefault="00327471" w:rsidP="005F34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813">
              <w:rPr>
                <w:rFonts w:ascii="Arial-BoldMS" w:hAnsi="Arial-BoldMS" w:cs="Arial-BoldMS"/>
                <w:b/>
                <w:bCs/>
                <w:color w:val="141413"/>
              </w:rPr>
              <w:t>c.</w:t>
            </w:r>
            <w:r w:rsidR="00B55CBD">
              <w:rPr>
                <w:rFonts w:ascii="Arial-BoldMS" w:hAnsi="Arial-BoldMS" w:cs="Arial-BoldMS"/>
                <w:bCs/>
                <w:color w:val="141413"/>
              </w:rPr>
              <w:t xml:space="preserve"> </w:t>
            </w:r>
            <w:r w:rsidRPr="00452813">
              <w:rPr>
                <w:rFonts w:ascii="Arial-BoldMS" w:hAnsi="Arial-BoldMS" w:cs="Arial-BoldMS"/>
                <w:bCs/>
                <w:color w:val="141413"/>
              </w:rPr>
              <w:t>Express whole numbers as fractions and recognize fractions that are equivalent to whole numbers.  Examples:  Express 3 in the form of 3=3/1; recognize that 6/1=6; locate 4/4 and 1 at the same point on a number line diagram.</w:t>
            </w:r>
          </w:p>
        </w:tc>
        <w:tc>
          <w:tcPr>
            <w:tcW w:w="2250" w:type="dxa"/>
          </w:tcPr>
          <w:p w:rsidR="000C540E" w:rsidRDefault="0028486B" w:rsidP="00083F04">
            <w:pPr>
              <w:rPr>
                <w:rFonts w:ascii="Arial-BoldMS" w:hAnsi="Arial-BoldMS" w:cs="Arial-BoldMS"/>
                <w:bCs/>
                <w:color w:val="141413"/>
              </w:rPr>
            </w:pPr>
            <w:r>
              <w:rPr>
                <w:rFonts w:ascii="Arial-BoldMS" w:hAnsi="Arial-BoldMS" w:cs="Arial-BoldMS"/>
                <w:bCs/>
                <w:color w:val="141413"/>
              </w:rPr>
              <w:t>2</w:t>
            </w:r>
            <w:r w:rsidR="00B55CBD">
              <w:rPr>
                <w:rFonts w:ascii="Arial-BoldMS" w:hAnsi="Arial-BoldMS" w:cs="Arial-BoldMS"/>
                <w:bCs/>
                <w:color w:val="141413"/>
              </w:rPr>
              <w:t xml:space="preserve">. </w:t>
            </w:r>
            <w:r>
              <w:rPr>
                <w:rFonts w:ascii="Arial-BoldMS" w:hAnsi="Arial-BoldMS" w:cs="Arial-BoldMS"/>
                <w:bCs/>
                <w:color w:val="141413"/>
              </w:rPr>
              <w:t xml:space="preserve"> </w:t>
            </w:r>
            <w:r w:rsidR="000C540E" w:rsidRPr="000C540E">
              <w:rPr>
                <w:rFonts w:ascii="Arial-BoldMS" w:hAnsi="Arial-BoldMS" w:cs="Arial-BoldMS"/>
                <w:bCs/>
                <w:color w:val="141413"/>
              </w:rPr>
              <w:t>Reason abstractly and quantitatively</w:t>
            </w:r>
          </w:p>
          <w:p w:rsidR="0028486B" w:rsidRDefault="0028486B" w:rsidP="00083F04">
            <w:pPr>
              <w:rPr>
                <w:rFonts w:ascii="Arial-BoldMS" w:hAnsi="Arial-BoldMS" w:cs="Arial-BoldMS"/>
                <w:bCs/>
                <w:color w:val="141413"/>
              </w:rPr>
            </w:pPr>
          </w:p>
          <w:p w:rsidR="0028486B" w:rsidRDefault="0028486B" w:rsidP="00083F04">
            <w:pPr>
              <w:rPr>
                <w:rFonts w:ascii="Arial-BoldMS" w:hAnsi="Arial-BoldMS" w:cs="Arial-BoldMS"/>
                <w:bCs/>
                <w:color w:val="141413"/>
              </w:rPr>
            </w:pPr>
            <w:r>
              <w:rPr>
                <w:rFonts w:ascii="Arial-BoldMS" w:hAnsi="Arial-BoldMS" w:cs="Arial-BoldMS"/>
                <w:bCs/>
                <w:color w:val="141413"/>
              </w:rPr>
              <w:t>6</w:t>
            </w:r>
            <w:r w:rsidR="00B55CBD">
              <w:rPr>
                <w:rFonts w:ascii="Arial-BoldMS" w:hAnsi="Arial-BoldMS" w:cs="Arial-BoldMS"/>
                <w:bCs/>
                <w:color w:val="141413"/>
              </w:rPr>
              <w:t>.</w:t>
            </w:r>
            <w:r>
              <w:rPr>
                <w:rFonts w:ascii="Arial-BoldMS" w:hAnsi="Arial-BoldMS" w:cs="Arial-BoldMS"/>
                <w:bCs/>
                <w:color w:val="141413"/>
              </w:rPr>
              <w:t xml:space="preserve">  Attend to precision</w:t>
            </w:r>
          </w:p>
          <w:p w:rsidR="00327471" w:rsidRDefault="00327471" w:rsidP="00083F04">
            <w:pPr>
              <w:rPr>
                <w:rFonts w:ascii="Arial-BoldMS" w:hAnsi="Arial-BoldMS" w:cs="Arial-BoldMS"/>
                <w:bCs/>
                <w:color w:val="141413"/>
              </w:rPr>
            </w:pPr>
          </w:p>
          <w:p w:rsidR="00327471" w:rsidRPr="000C540E" w:rsidRDefault="00327471" w:rsidP="00083F04">
            <w:pPr>
              <w:rPr>
                <w:rFonts w:ascii="Arial-BoldMS" w:hAnsi="Arial-BoldMS" w:cs="Arial-BoldMS"/>
                <w:bCs/>
                <w:color w:val="141413"/>
              </w:rPr>
            </w:pPr>
            <w:r>
              <w:rPr>
                <w:rFonts w:ascii="Arial-BoldMS" w:hAnsi="Arial-BoldMS" w:cs="Arial-BoldMS"/>
                <w:bCs/>
                <w:color w:val="141413"/>
              </w:rPr>
              <w:t>5</w:t>
            </w:r>
            <w:r w:rsidR="00B55CBD">
              <w:rPr>
                <w:rFonts w:ascii="Arial-BoldMS" w:hAnsi="Arial-BoldMS" w:cs="Arial-BoldMS"/>
                <w:bCs/>
                <w:color w:val="141413"/>
              </w:rPr>
              <w:t>.</w:t>
            </w:r>
            <w:r>
              <w:rPr>
                <w:rFonts w:ascii="Arial-BoldMS" w:hAnsi="Arial-BoldMS" w:cs="Arial-BoldMS"/>
                <w:bCs/>
                <w:color w:val="141413"/>
              </w:rPr>
              <w:t xml:space="preserve">  Use appropriate tools strategically</w:t>
            </w:r>
          </w:p>
          <w:p w:rsidR="000C540E" w:rsidRDefault="000C540E" w:rsidP="00083F04">
            <w:pPr>
              <w:rPr>
                <w:rFonts w:ascii="Arial-BoldMS" w:hAnsi="Arial-BoldMS" w:cs="Arial-BoldMS"/>
                <w:b/>
                <w:bCs/>
                <w:color w:val="141413"/>
              </w:rPr>
            </w:pPr>
          </w:p>
          <w:p w:rsidR="00FA016B" w:rsidRPr="000C540E" w:rsidRDefault="00083F04" w:rsidP="00083F04">
            <w:pPr>
              <w:rPr>
                <w:rFonts w:ascii="Arial-BoldMS" w:hAnsi="Arial-BoldMS" w:cs="Arial-BoldMS"/>
                <w:b/>
                <w:bCs/>
                <w:color w:val="141413"/>
              </w:rPr>
            </w:pPr>
            <w:r w:rsidRPr="002E3B14">
              <w:rPr>
                <w:rFonts w:ascii="Arial-BoldMS" w:hAnsi="Arial-BoldMS" w:cs="Arial-BoldMS"/>
                <w:bCs/>
              </w:rPr>
              <w:t xml:space="preserve"> </w:t>
            </w:r>
            <w:r w:rsidR="00327471">
              <w:rPr>
                <w:rFonts w:ascii="Arial-BoldMS" w:hAnsi="Arial-BoldMS" w:cs="Arial-BoldMS"/>
                <w:bCs/>
              </w:rPr>
              <w:t>8</w:t>
            </w:r>
            <w:r w:rsidR="00B55CBD">
              <w:rPr>
                <w:rFonts w:ascii="Arial-BoldMS" w:hAnsi="Arial-BoldMS" w:cs="Arial-BoldMS"/>
                <w:bCs/>
              </w:rPr>
              <w:t>.</w:t>
            </w:r>
            <w:r w:rsidR="00327471">
              <w:rPr>
                <w:rFonts w:ascii="Arial-BoldMS" w:hAnsi="Arial-BoldMS" w:cs="Arial-BoldMS"/>
                <w:bCs/>
              </w:rPr>
              <w:t xml:space="preserve">  Look for and express regularity in repeated reasoning</w:t>
            </w:r>
          </w:p>
        </w:tc>
      </w:tr>
    </w:tbl>
    <w:p w:rsidR="00FA016B" w:rsidRPr="0001036A" w:rsidRDefault="00FA016B" w:rsidP="0002497F">
      <w:pPr>
        <w:rPr>
          <w:b/>
        </w:rPr>
      </w:pPr>
    </w:p>
    <w:p w:rsidR="0002497F" w:rsidRDefault="0002497F" w:rsidP="0002497F">
      <w:pPr>
        <w:rPr>
          <w:b/>
          <w:sz w:val="24"/>
          <w:szCs w:val="24"/>
        </w:rPr>
      </w:pPr>
      <w:r w:rsidRPr="0001036A">
        <w:rPr>
          <w:b/>
          <w:sz w:val="24"/>
          <w:szCs w:val="24"/>
        </w:rPr>
        <w:t>Materials:</w:t>
      </w:r>
      <w:r w:rsidR="001B1F5E">
        <w:rPr>
          <w:b/>
          <w:sz w:val="24"/>
          <w:szCs w:val="24"/>
        </w:rPr>
        <w:t xml:space="preserve">  </w:t>
      </w:r>
    </w:p>
    <w:p w:rsidR="00D10815" w:rsidRDefault="00452813" w:rsidP="0002497F">
      <w:pPr>
        <w:rPr>
          <w:sz w:val="24"/>
          <w:szCs w:val="24"/>
        </w:rPr>
      </w:pPr>
      <w:r w:rsidRPr="00B55CBD">
        <w:rPr>
          <w:sz w:val="24"/>
          <w:szCs w:val="24"/>
        </w:rPr>
        <w:t>Chart paper (for student posters)</w:t>
      </w:r>
      <w:r w:rsidR="00B55CBD">
        <w:rPr>
          <w:sz w:val="24"/>
          <w:szCs w:val="24"/>
        </w:rPr>
        <w:t xml:space="preserve">, </w:t>
      </w:r>
      <w:r w:rsidRPr="00B55CBD">
        <w:rPr>
          <w:sz w:val="24"/>
          <w:szCs w:val="24"/>
        </w:rPr>
        <w:t>Equivalent Fraction Cards (see below)</w:t>
      </w:r>
      <w:r w:rsidR="00B55CBD">
        <w:rPr>
          <w:sz w:val="24"/>
          <w:szCs w:val="24"/>
        </w:rPr>
        <w:t xml:space="preserve">, </w:t>
      </w:r>
      <w:r w:rsidR="00D10815" w:rsidRPr="00B55CBD">
        <w:rPr>
          <w:sz w:val="24"/>
          <w:szCs w:val="24"/>
        </w:rPr>
        <w:t>Poster Rubric</w:t>
      </w:r>
    </w:p>
    <w:p w:rsidR="00B55CBD" w:rsidRPr="00B55CBD" w:rsidRDefault="00B55CBD" w:rsidP="0002497F">
      <w:pPr>
        <w:rPr>
          <w:sz w:val="24"/>
          <w:szCs w:val="24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4"/>
        <w:gridCol w:w="7804"/>
        <w:gridCol w:w="2160"/>
      </w:tblGrid>
      <w:tr w:rsidR="0002497F" w:rsidRPr="0001036A" w:rsidTr="005F3492">
        <w:trPr>
          <w:trHeight w:val="1178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t>G</w:t>
            </w:r>
          </w:p>
          <w:p w:rsidR="005F3492" w:rsidRPr="0001036A" w:rsidRDefault="005F3492" w:rsidP="009E6345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Engage Students with the Goal</w:t>
            </w:r>
          </w:p>
        </w:tc>
        <w:tc>
          <w:tcPr>
            <w:tcW w:w="7804" w:type="dxa"/>
          </w:tcPr>
          <w:p w:rsidR="0002497F" w:rsidRPr="000C540E" w:rsidRDefault="0002497F" w:rsidP="009E6345">
            <w:pPr>
              <w:rPr>
                <w:sz w:val="24"/>
                <w:szCs w:val="24"/>
                <w:u w:val="single"/>
              </w:rPr>
            </w:pPr>
            <w:r w:rsidRPr="000C540E">
              <w:rPr>
                <w:sz w:val="24"/>
                <w:szCs w:val="24"/>
                <w:u w:val="single"/>
              </w:rPr>
              <w:t>State and Rate</w:t>
            </w:r>
          </w:p>
          <w:p w:rsidR="00452813" w:rsidRDefault="000C540E" w:rsidP="00452813">
            <w:pPr>
              <w:rPr>
                <w:sz w:val="24"/>
                <w:szCs w:val="24"/>
              </w:rPr>
            </w:pPr>
            <w:r w:rsidRPr="000C540E">
              <w:rPr>
                <w:sz w:val="24"/>
                <w:szCs w:val="24"/>
              </w:rPr>
              <w:t>Objective:  “</w:t>
            </w:r>
            <w:r w:rsidR="00327471">
              <w:rPr>
                <w:sz w:val="24"/>
                <w:szCs w:val="24"/>
              </w:rPr>
              <w:t xml:space="preserve">I </w:t>
            </w:r>
            <w:r w:rsidR="00452813" w:rsidRPr="0001036A">
              <w:rPr>
                <w:sz w:val="24"/>
                <w:szCs w:val="24"/>
              </w:rPr>
              <w:t>“</w:t>
            </w:r>
            <w:r w:rsidR="00452813">
              <w:rPr>
                <w:sz w:val="24"/>
                <w:szCs w:val="24"/>
              </w:rPr>
              <w:t>I can find equivalent fractions and show how they are equivalent in multiple ways.”</w:t>
            </w:r>
          </w:p>
          <w:p w:rsidR="0028486B" w:rsidRDefault="0028486B" w:rsidP="0028486B">
            <w:pPr>
              <w:rPr>
                <w:sz w:val="24"/>
                <w:szCs w:val="24"/>
              </w:rPr>
            </w:pPr>
          </w:p>
          <w:p w:rsidR="0002497F" w:rsidRPr="000C540E" w:rsidRDefault="0002497F" w:rsidP="0028486B">
            <w:pPr>
              <w:rPr>
                <w:sz w:val="24"/>
                <w:szCs w:val="24"/>
              </w:rPr>
            </w:pPr>
            <w:r w:rsidRPr="000C540E">
              <w:rPr>
                <w:sz w:val="24"/>
                <w:szCs w:val="24"/>
              </w:rPr>
              <w:t xml:space="preserve">Students rate themselves to the goal (1, 2, 3, </w:t>
            </w:r>
            <w:proofErr w:type="gramStart"/>
            <w:r w:rsidRPr="000C540E">
              <w:rPr>
                <w:sz w:val="24"/>
                <w:szCs w:val="24"/>
              </w:rPr>
              <w:t>4</w:t>
            </w:r>
            <w:proofErr w:type="gramEnd"/>
            <w:r w:rsidRPr="000C540E">
              <w:rPr>
                <w:sz w:val="24"/>
                <w:szCs w:val="24"/>
              </w:rPr>
              <w:t>).</w:t>
            </w:r>
          </w:p>
        </w:tc>
        <w:tc>
          <w:tcPr>
            <w:tcW w:w="2160" w:type="dxa"/>
          </w:tcPr>
          <w:p w:rsidR="0002497F" w:rsidRPr="0001036A" w:rsidRDefault="0002497F" w:rsidP="009E6345">
            <w:pPr>
              <w:rPr>
                <w:sz w:val="24"/>
                <w:szCs w:val="24"/>
              </w:rPr>
            </w:pPr>
            <w:r w:rsidRPr="0001036A">
              <w:rPr>
                <w:sz w:val="24"/>
                <w:szCs w:val="24"/>
              </w:rPr>
              <w:t>Setting Objectives and Providing Feedback</w:t>
            </w:r>
          </w:p>
        </w:tc>
      </w:tr>
      <w:tr w:rsidR="0002497F" w:rsidRPr="0001036A" w:rsidTr="004474BB">
        <w:trPr>
          <w:trHeight w:val="620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t>A</w:t>
            </w:r>
          </w:p>
          <w:p w:rsidR="005F3492" w:rsidRPr="00D87245" w:rsidRDefault="005F3492" w:rsidP="005F3492">
            <w:pPr>
              <w:jc w:val="center"/>
              <w:rPr>
                <w:b/>
                <w:sz w:val="20"/>
                <w:szCs w:val="20"/>
              </w:rPr>
            </w:pPr>
            <w:r w:rsidRPr="00D87245">
              <w:rPr>
                <w:b/>
                <w:sz w:val="20"/>
                <w:szCs w:val="20"/>
              </w:rPr>
              <w:t>Access Prior</w:t>
            </w:r>
          </w:p>
          <w:p w:rsidR="005F3492" w:rsidRPr="0001036A" w:rsidRDefault="005F3492" w:rsidP="005F3492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7804" w:type="dxa"/>
          </w:tcPr>
          <w:p w:rsidR="00B55CBD" w:rsidRDefault="00F34232" w:rsidP="004528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232">
              <w:rPr>
                <w:sz w:val="24"/>
                <w:szCs w:val="24"/>
              </w:rPr>
              <w:t xml:space="preserve">Ask students, “What makes fractions equivalent?”  </w:t>
            </w:r>
          </w:p>
          <w:p w:rsidR="00B55CBD" w:rsidRDefault="00F34232" w:rsidP="004528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232">
              <w:rPr>
                <w:sz w:val="24"/>
                <w:szCs w:val="24"/>
              </w:rPr>
              <w:t xml:space="preserve">“How do you know that two fractions are equivalent?”  </w:t>
            </w:r>
          </w:p>
          <w:p w:rsidR="00591EA1" w:rsidRPr="00F34232" w:rsidRDefault="00F34232" w:rsidP="004528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4232">
              <w:rPr>
                <w:sz w:val="24"/>
                <w:szCs w:val="24"/>
              </w:rPr>
              <w:t>Discuss as a class.</w:t>
            </w:r>
          </w:p>
          <w:p w:rsidR="004474BB" w:rsidRPr="00F34232" w:rsidRDefault="004474BB" w:rsidP="00591E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2497F" w:rsidRDefault="0002497F" w:rsidP="009E6345">
            <w:pPr>
              <w:rPr>
                <w:sz w:val="24"/>
                <w:szCs w:val="24"/>
              </w:rPr>
            </w:pPr>
            <w:r w:rsidRPr="0001036A">
              <w:rPr>
                <w:sz w:val="24"/>
                <w:szCs w:val="24"/>
              </w:rPr>
              <w:t>Nonlinguistic Representation</w:t>
            </w:r>
          </w:p>
          <w:p w:rsidR="005F3492" w:rsidRPr="0001036A" w:rsidRDefault="005F3492" w:rsidP="009E6345">
            <w:pPr>
              <w:rPr>
                <w:sz w:val="24"/>
                <w:szCs w:val="24"/>
              </w:rPr>
            </w:pPr>
          </w:p>
          <w:p w:rsidR="0002497F" w:rsidRDefault="00B576DB" w:rsidP="009E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Cues, Questions, and Advance Organizers</w:t>
            </w:r>
          </w:p>
          <w:p w:rsidR="00B576DB" w:rsidRDefault="00B576DB" w:rsidP="009E6345">
            <w:pPr>
              <w:rPr>
                <w:sz w:val="24"/>
                <w:szCs w:val="24"/>
              </w:rPr>
            </w:pPr>
          </w:p>
          <w:p w:rsidR="0002497F" w:rsidRPr="0001036A" w:rsidRDefault="00B576DB" w:rsidP="009E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Cooperative Learning</w:t>
            </w:r>
          </w:p>
        </w:tc>
      </w:tr>
      <w:tr w:rsidR="0002497F" w:rsidRPr="0001036A" w:rsidTr="005F3492">
        <w:trPr>
          <w:trHeight w:val="980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lastRenderedPageBreak/>
              <w:t>N</w:t>
            </w:r>
          </w:p>
          <w:p w:rsidR="005F3492" w:rsidRPr="0001036A" w:rsidRDefault="005F3492" w:rsidP="009E6345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New Information</w:t>
            </w:r>
          </w:p>
        </w:tc>
        <w:tc>
          <w:tcPr>
            <w:tcW w:w="7804" w:type="dxa"/>
          </w:tcPr>
          <w:p w:rsidR="00B55CBD" w:rsidRDefault="00F34232" w:rsidP="00F34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2813">
              <w:rPr>
                <w:i/>
                <w:sz w:val="24"/>
                <w:szCs w:val="24"/>
              </w:rPr>
              <w:t>Students should have already practiced and had multiple lessons with fraction equivalence before this lesson.</w:t>
            </w:r>
            <w:r>
              <w:rPr>
                <w:sz w:val="24"/>
                <w:szCs w:val="24"/>
              </w:rPr>
              <w:t xml:space="preserve">  Show students visuals below and ask them, “Are these fraction models equivalent?”  </w:t>
            </w:r>
          </w:p>
          <w:p w:rsidR="00B55CBD" w:rsidRDefault="00F34232" w:rsidP="00F34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“Why or why not?”  </w:t>
            </w:r>
          </w:p>
          <w:p w:rsidR="00F34232" w:rsidRDefault="00F34232" w:rsidP="00F34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“How would we notate this?”</w:t>
            </w:r>
          </w:p>
          <w:p w:rsidR="00F34232" w:rsidRDefault="00F34232" w:rsidP="00F34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tbl>
            <w:tblPr>
              <w:tblpPr w:leftFromText="180" w:rightFromText="180" w:vertAnchor="page" w:horzAnchor="margin" w:tblpXSpec="center" w:tblpY="20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67"/>
              <w:gridCol w:w="1067"/>
            </w:tblGrid>
            <w:tr w:rsidR="00F34232" w:rsidRPr="00591EA1" w:rsidTr="00F34232">
              <w:trPr>
                <w:trHeight w:val="1634"/>
              </w:trPr>
              <w:tc>
                <w:tcPr>
                  <w:tcW w:w="1067" w:type="dxa"/>
                  <w:shd w:val="pct12" w:color="auto" w:fill="auto"/>
                </w:tcPr>
                <w:p w:rsidR="00F34232" w:rsidRPr="00591EA1" w:rsidRDefault="00F34232" w:rsidP="00F342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34232" w:rsidRPr="00591EA1" w:rsidRDefault="00F34232" w:rsidP="00F342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34232" w:rsidRDefault="00F34232" w:rsidP="00F34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34232" w:rsidRDefault="00F34232" w:rsidP="00F34232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35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051"/>
              <w:gridCol w:w="1051"/>
            </w:tblGrid>
            <w:tr w:rsidR="00F34232" w:rsidRPr="00591EA1" w:rsidTr="00F34232">
              <w:trPr>
                <w:trHeight w:val="837"/>
              </w:trPr>
              <w:tc>
                <w:tcPr>
                  <w:tcW w:w="1051" w:type="dxa"/>
                  <w:shd w:val="pct12" w:color="auto" w:fill="auto"/>
                </w:tcPr>
                <w:p w:rsidR="00F34232" w:rsidRPr="00591EA1" w:rsidRDefault="00F34232" w:rsidP="00F342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</w:tcPr>
                <w:p w:rsidR="00F34232" w:rsidRPr="00591EA1" w:rsidRDefault="00F34232" w:rsidP="00F342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F34232" w:rsidRPr="00591EA1" w:rsidTr="00F34232">
              <w:trPr>
                <w:trHeight w:val="882"/>
              </w:trPr>
              <w:tc>
                <w:tcPr>
                  <w:tcW w:w="1051" w:type="dxa"/>
                  <w:shd w:val="pct12" w:color="auto" w:fill="auto"/>
                </w:tcPr>
                <w:p w:rsidR="00F34232" w:rsidRPr="00591EA1" w:rsidRDefault="00F34232" w:rsidP="00F342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1" w:type="dxa"/>
                </w:tcPr>
                <w:p w:rsidR="00F34232" w:rsidRPr="00591EA1" w:rsidRDefault="00F34232" w:rsidP="00F3423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34232" w:rsidRDefault="00F34232" w:rsidP="00F34232">
            <w:pPr>
              <w:jc w:val="center"/>
              <w:rPr>
                <w:sz w:val="24"/>
                <w:szCs w:val="24"/>
              </w:rPr>
            </w:pPr>
          </w:p>
          <w:p w:rsidR="00F34232" w:rsidRDefault="00F34232" w:rsidP="00F34232">
            <w:pPr>
              <w:jc w:val="center"/>
              <w:rPr>
                <w:sz w:val="24"/>
                <w:szCs w:val="24"/>
              </w:rPr>
            </w:pPr>
          </w:p>
          <w:p w:rsidR="00F34232" w:rsidRDefault="00F34232" w:rsidP="00F34232">
            <w:pPr>
              <w:jc w:val="center"/>
              <w:rPr>
                <w:sz w:val="24"/>
                <w:szCs w:val="24"/>
              </w:rPr>
            </w:pPr>
          </w:p>
          <w:p w:rsidR="00F34232" w:rsidRDefault="00F34232" w:rsidP="00F34232">
            <w:pPr>
              <w:jc w:val="center"/>
              <w:rPr>
                <w:sz w:val="24"/>
                <w:szCs w:val="24"/>
              </w:rPr>
            </w:pPr>
          </w:p>
          <w:p w:rsidR="00F34232" w:rsidRDefault="00F34232" w:rsidP="00F34232">
            <w:pPr>
              <w:jc w:val="center"/>
              <w:rPr>
                <w:sz w:val="24"/>
                <w:szCs w:val="24"/>
              </w:rPr>
            </w:pPr>
          </w:p>
          <w:p w:rsidR="00F34232" w:rsidRDefault="00F34232" w:rsidP="00F34232">
            <w:pPr>
              <w:jc w:val="center"/>
              <w:rPr>
                <w:sz w:val="24"/>
                <w:szCs w:val="24"/>
              </w:rPr>
            </w:pPr>
          </w:p>
          <w:p w:rsidR="00F34232" w:rsidRDefault="00F34232" w:rsidP="00F34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“What ab</w:t>
            </w:r>
            <w:r w:rsidR="00B55CBD">
              <w:rPr>
                <w:sz w:val="24"/>
                <w:szCs w:val="24"/>
              </w:rPr>
              <w:t xml:space="preserve">out these two fractions, </w:t>
            </w:r>
            <w:r>
              <w:rPr>
                <w:sz w:val="24"/>
                <w:szCs w:val="24"/>
              </w:rPr>
              <w:t>¾ and 6/8?  Are they equivalent?  Why or why not?  How could you prove it?”   (Reviewing what they learned.)</w:t>
            </w:r>
          </w:p>
          <w:p w:rsidR="00B55CBD" w:rsidRDefault="00B55CBD" w:rsidP="00F34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55CBD" w:rsidRDefault="00B55CBD" w:rsidP="00F34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will</w:t>
            </w:r>
            <w:r w:rsidR="00F34232">
              <w:rPr>
                <w:sz w:val="24"/>
                <w:szCs w:val="24"/>
              </w:rPr>
              <w:t xml:space="preserve"> pair share and justify their reasoning.  </w:t>
            </w:r>
          </w:p>
          <w:p w:rsidR="00F34232" w:rsidRPr="0046256A" w:rsidRDefault="00F34232" w:rsidP="00F34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out as a class and discuss.</w:t>
            </w:r>
          </w:p>
        </w:tc>
        <w:tc>
          <w:tcPr>
            <w:tcW w:w="2160" w:type="dxa"/>
          </w:tcPr>
          <w:p w:rsidR="0002497F" w:rsidRDefault="0002497F" w:rsidP="009E6345">
            <w:pPr>
              <w:rPr>
                <w:sz w:val="24"/>
                <w:szCs w:val="24"/>
              </w:rPr>
            </w:pPr>
            <w:r w:rsidRPr="0001036A">
              <w:rPr>
                <w:sz w:val="24"/>
                <w:szCs w:val="24"/>
              </w:rPr>
              <w:t>Similarities and Differences</w:t>
            </w:r>
          </w:p>
          <w:p w:rsidR="005F3492" w:rsidRPr="0001036A" w:rsidRDefault="005F3492" w:rsidP="009E6345">
            <w:pPr>
              <w:rPr>
                <w:sz w:val="24"/>
                <w:szCs w:val="24"/>
              </w:rPr>
            </w:pPr>
          </w:p>
          <w:p w:rsidR="0002497F" w:rsidRDefault="0002497F" w:rsidP="009E6345">
            <w:pPr>
              <w:rPr>
                <w:sz w:val="24"/>
                <w:szCs w:val="24"/>
              </w:rPr>
            </w:pPr>
            <w:r w:rsidRPr="0001036A">
              <w:rPr>
                <w:sz w:val="24"/>
                <w:szCs w:val="24"/>
              </w:rPr>
              <w:t>Nonlinguistic Representation</w:t>
            </w:r>
          </w:p>
          <w:p w:rsidR="005F3492" w:rsidRPr="0001036A" w:rsidRDefault="005F3492" w:rsidP="009E6345">
            <w:pPr>
              <w:rPr>
                <w:sz w:val="24"/>
                <w:szCs w:val="24"/>
              </w:rPr>
            </w:pPr>
          </w:p>
          <w:p w:rsidR="0002497F" w:rsidRPr="0001036A" w:rsidRDefault="0002497F" w:rsidP="002E3B14">
            <w:pPr>
              <w:rPr>
                <w:sz w:val="24"/>
                <w:szCs w:val="24"/>
              </w:rPr>
            </w:pPr>
            <w:r w:rsidRPr="0001036A">
              <w:rPr>
                <w:sz w:val="24"/>
                <w:szCs w:val="24"/>
              </w:rPr>
              <w:t>Cues, Questions, and Advance Organizers</w:t>
            </w:r>
          </w:p>
        </w:tc>
      </w:tr>
      <w:tr w:rsidR="0002497F" w:rsidRPr="0001036A" w:rsidTr="005F3492">
        <w:trPr>
          <w:trHeight w:val="1774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t>A</w:t>
            </w:r>
          </w:p>
          <w:p w:rsidR="005F3492" w:rsidRPr="0001036A" w:rsidRDefault="005F3492" w:rsidP="009E6345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7804" w:type="dxa"/>
          </w:tcPr>
          <w:p w:rsidR="00F34232" w:rsidRDefault="00F34232" w:rsidP="00F342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 up the cards and distribute them to students.  Each student should receive one card.  Tell students to find t</w:t>
            </w:r>
            <w:r w:rsidR="00D10815">
              <w:rPr>
                <w:sz w:val="24"/>
                <w:szCs w:val="24"/>
              </w:rPr>
              <w:t>wo other people</w:t>
            </w:r>
            <w:r>
              <w:rPr>
                <w:sz w:val="24"/>
                <w:szCs w:val="24"/>
              </w:rPr>
              <w:t xml:space="preserve"> who ha</w:t>
            </w:r>
            <w:r w:rsidR="00D10815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a card with an equivalent fraction.  Once students have found their match</w:t>
            </w:r>
            <w:r w:rsidR="00D10815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, have them work together with their matching partner</w:t>
            </w:r>
            <w:r w:rsidR="00D1081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to create a poster using the following:</w:t>
            </w:r>
          </w:p>
          <w:p w:rsidR="00F34232" w:rsidRDefault="00F34232" w:rsidP="00F3423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10815">
              <w:rPr>
                <w:sz w:val="24"/>
                <w:szCs w:val="24"/>
              </w:rPr>
              <w:t>he</w:t>
            </w:r>
            <w:r>
              <w:rPr>
                <w:sz w:val="24"/>
                <w:szCs w:val="24"/>
              </w:rPr>
              <w:t xml:space="preserve"> fractions must be written as an equation</w:t>
            </w:r>
            <w:r w:rsidR="00D10815">
              <w:rPr>
                <w:sz w:val="24"/>
                <w:szCs w:val="24"/>
              </w:rPr>
              <w:t xml:space="preserve"> showing their equivalence.</w:t>
            </w:r>
          </w:p>
          <w:p w:rsidR="00F34232" w:rsidRPr="00B248E1" w:rsidRDefault="00F34232" w:rsidP="00F3423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8E1">
              <w:rPr>
                <w:sz w:val="24"/>
                <w:szCs w:val="24"/>
              </w:rPr>
              <w:t>You must include one other fraction that is equivalent to your pair.</w:t>
            </w:r>
          </w:p>
          <w:p w:rsidR="000C540E" w:rsidRDefault="00F34232" w:rsidP="00F3423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 have an explanation that proves, in two different ways, that the fractions are equivalent.  The explanation may be done using pictures, numbers, and/or words.</w:t>
            </w:r>
          </w:p>
          <w:p w:rsidR="00F34232" w:rsidRDefault="00F34232" w:rsidP="00F342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When students are done, post their posters around the room and do a “gallery walk” to view all of them using the criteria listed above as a rubric.  As students view the posters, have them score the posters to the criteria on the rubric.  Tell students to look for the poster that had the clearest and easiest </w:t>
            </w:r>
            <w:r w:rsidR="00D10815">
              <w:rPr>
                <w:sz w:val="24"/>
                <w:szCs w:val="24"/>
              </w:rPr>
              <w:t xml:space="preserve">explanation of equivalent fractions to them.  </w:t>
            </w:r>
          </w:p>
          <w:p w:rsidR="00D10815" w:rsidRPr="000C540E" w:rsidRDefault="00D10815" w:rsidP="00F3423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 back together as a class and have students share out what poster was most meaningful to them in their learning.</w:t>
            </w:r>
          </w:p>
        </w:tc>
        <w:tc>
          <w:tcPr>
            <w:tcW w:w="2160" w:type="dxa"/>
          </w:tcPr>
          <w:p w:rsidR="00BE3365" w:rsidRDefault="00BE3365" w:rsidP="009E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Similarities and Differences</w:t>
            </w:r>
          </w:p>
          <w:p w:rsidR="00BE3365" w:rsidRDefault="00BE3365" w:rsidP="009E6345">
            <w:pPr>
              <w:rPr>
                <w:sz w:val="24"/>
                <w:szCs w:val="24"/>
              </w:rPr>
            </w:pPr>
          </w:p>
          <w:p w:rsidR="0002497F" w:rsidRDefault="0002497F" w:rsidP="009E6345">
            <w:pPr>
              <w:rPr>
                <w:sz w:val="24"/>
                <w:szCs w:val="24"/>
              </w:rPr>
            </w:pPr>
            <w:r w:rsidRPr="0001036A">
              <w:rPr>
                <w:sz w:val="24"/>
                <w:szCs w:val="24"/>
              </w:rPr>
              <w:t>Providing Feedback</w:t>
            </w:r>
          </w:p>
          <w:p w:rsidR="005F3492" w:rsidRPr="0001036A" w:rsidRDefault="005F3492" w:rsidP="009E6345">
            <w:pPr>
              <w:rPr>
                <w:sz w:val="24"/>
                <w:szCs w:val="24"/>
              </w:rPr>
            </w:pPr>
          </w:p>
          <w:p w:rsidR="0002497F" w:rsidRPr="0001036A" w:rsidRDefault="0002497F" w:rsidP="009E6345">
            <w:pPr>
              <w:rPr>
                <w:sz w:val="24"/>
                <w:szCs w:val="24"/>
              </w:rPr>
            </w:pPr>
            <w:r w:rsidRPr="0001036A">
              <w:rPr>
                <w:sz w:val="24"/>
                <w:szCs w:val="24"/>
              </w:rPr>
              <w:t>Practice and Homework</w:t>
            </w:r>
          </w:p>
        </w:tc>
      </w:tr>
      <w:tr w:rsidR="0002497F" w:rsidRPr="0001036A" w:rsidTr="005F3492">
        <w:trPr>
          <w:trHeight w:val="1864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t>G</w:t>
            </w:r>
          </w:p>
          <w:p w:rsidR="005F3492" w:rsidRPr="0001036A" w:rsidRDefault="005F3492" w:rsidP="009E6345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Revisit the Goal</w:t>
            </w:r>
          </w:p>
        </w:tc>
        <w:tc>
          <w:tcPr>
            <w:tcW w:w="7804" w:type="dxa"/>
          </w:tcPr>
          <w:p w:rsidR="0002497F" w:rsidRPr="000C540E" w:rsidRDefault="0002497F" w:rsidP="009E6345">
            <w:pPr>
              <w:rPr>
                <w:sz w:val="24"/>
                <w:szCs w:val="24"/>
                <w:u w:val="single"/>
              </w:rPr>
            </w:pPr>
            <w:r w:rsidRPr="000C540E">
              <w:rPr>
                <w:sz w:val="24"/>
                <w:szCs w:val="24"/>
                <w:u w:val="single"/>
              </w:rPr>
              <w:t>State and Rate</w:t>
            </w:r>
          </w:p>
          <w:p w:rsidR="00452813" w:rsidRDefault="0002497F" w:rsidP="00452813">
            <w:pPr>
              <w:rPr>
                <w:sz w:val="24"/>
                <w:szCs w:val="24"/>
              </w:rPr>
            </w:pPr>
            <w:r w:rsidRPr="000C540E">
              <w:rPr>
                <w:sz w:val="24"/>
                <w:szCs w:val="24"/>
              </w:rPr>
              <w:t xml:space="preserve">Objective: </w:t>
            </w:r>
            <w:r w:rsidR="00FA016B" w:rsidRPr="000C540E">
              <w:rPr>
                <w:sz w:val="24"/>
                <w:szCs w:val="24"/>
              </w:rPr>
              <w:t xml:space="preserve"> </w:t>
            </w:r>
            <w:r w:rsidRPr="000C540E">
              <w:rPr>
                <w:sz w:val="24"/>
                <w:szCs w:val="24"/>
              </w:rPr>
              <w:t xml:space="preserve"> </w:t>
            </w:r>
            <w:r w:rsidR="00452813" w:rsidRPr="0001036A">
              <w:rPr>
                <w:sz w:val="24"/>
                <w:szCs w:val="24"/>
              </w:rPr>
              <w:t>“</w:t>
            </w:r>
            <w:r w:rsidR="00452813">
              <w:rPr>
                <w:sz w:val="24"/>
                <w:szCs w:val="24"/>
              </w:rPr>
              <w:t>I can find equivalent fractions and show how they are equivalent in multiple ways.”</w:t>
            </w:r>
          </w:p>
          <w:p w:rsidR="0028486B" w:rsidRDefault="0028486B" w:rsidP="0028486B">
            <w:pPr>
              <w:rPr>
                <w:sz w:val="24"/>
                <w:szCs w:val="24"/>
              </w:rPr>
            </w:pPr>
          </w:p>
          <w:p w:rsidR="0002497F" w:rsidRDefault="0002497F" w:rsidP="00AA6991">
            <w:pPr>
              <w:rPr>
                <w:sz w:val="24"/>
                <w:szCs w:val="24"/>
              </w:rPr>
            </w:pPr>
            <w:r w:rsidRPr="000C540E">
              <w:rPr>
                <w:sz w:val="24"/>
                <w:szCs w:val="24"/>
              </w:rPr>
              <w:t xml:space="preserve">Students rate themselves to the goal (1, 2, 3, </w:t>
            </w:r>
            <w:proofErr w:type="gramStart"/>
            <w:r w:rsidRPr="000C540E">
              <w:rPr>
                <w:sz w:val="24"/>
                <w:szCs w:val="24"/>
              </w:rPr>
              <w:t>4</w:t>
            </w:r>
            <w:proofErr w:type="gramEnd"/>
            <w:r w:rsidRPr="000C540E">
              <w:rPr>
                <w:sz w:val="24"/>
                <w:szCs w:val="24"/>
              </w:rPr>
              <w:t>).</w:t>
            </w:r>
          </w:p>
          <w:p w:rsidR="00B576DB" w:rsidRDefault="00B576DB" w:rsidP="00AA6991">
            <w:pPr>
              <w:rPr>
                <w:sz w:val="24"/>
                <w:szCs w:val="24"/>
              </w:rPr>
            </w:pPr>
          </w:p>
          <w:p w:rsidR="00B576DB" w:rsidRPr="000C540E" w:rsidRDefault="00B576DB" w:rsidP="00AA6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students write a statement to summarize their learning for the day.</w:t>
            </w:r>
          </w:p>
        </w:tc>
        <w:tc>
          <w:tcPr>
            <w:tcW w:w="2160" w:type="dxa"/>
          </w:tcPr>
          <w:p w:rsidR="0002497F" w:rsidRPr="0001036A" w:rsidRDefault="0002497F" w:rsidP="009E6345">
            <w:pPr>
              <w:rPr>
                <w:sz w:val="24"/>
                <w:szCs w:val="24"/>
              </w:rPr>
            </w:pPr>
            <w:r w:rsidRPr="0001036A">
              <w:rPr>
                <w:sz w:val="24"/>
                <w:szCs w:val="24"/>
              </w:rPr>
              <w:t>Setting Objectives and Providing Feedback</w:t>
            </w:r>
          </w:p>
        </w:tc>
      </w:tr>
    </w:tbl>
    <w:p w:rsidR="00E4388B" w:rsidRDefault="00E4388B" w:rsidP="0002497F">
      <w:pPr>
        <w:rPr>
          <w:sz w:val="24"/>
          <w:szCs w:val="24"/>
        </w:rPr>
      </w:pPr>
    </w:p>
    <w:p w:rsidR="00997E64" w:rsidRDefault="00997E64" w:rsidP="0002497F">
      <w:pPr>
        <w:rPr>
          <w:sz w:val="24"/>
          <w:szCs w:val="24"/>
        </w:rPr>
      </w:pPr>
    </w:p>
    <w:p w:rsidR="00997E64" w:rsidRDefault="00997E64" w:rsidP="000249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4"/>
        <w:gridCol w:w="2194"/>
        <w:gridCol w:w="2194"/>
        <w:gridCol w:w="2194"/>
        <w:gridCol w:w="2195"/>
      </w:tblGrid>
      <w:tr w:rsidR="00D10815" w:rsidRPr="007D011E" w:rsidTr="007D011E">
        <w:trPr>
          <w:trHeight w:val="2661"/>
        </w:trPr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1/1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3/3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10/10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1/2</w:t>
            </w:r>
          </w:p>
        </w:tc>
        <w:tc>
          <w:tcPr>
            <w:tcW w:w="2195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2/4</w:t>
            </w:r>
          </w:p>
        </w:tc>
      </w:tr>
      <w:tr w:rsidR="00D10815" w:rsidRPr="007D011E" w:rsidTr="007D011E">
        <w:trPr>
          <w:trHeight w:val="2802"/>
        </w:trPr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3/6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1/3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2/6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3/9</w:t>
            </w:r>
          </w:p>
        </w:tc>
        <w:tc>
          <w:tcPr>
            <w:tcW w:w="2195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4/12</w:t>
            </w:r>
          </w:p>
        </w:tc>
      </w:tr>
      <w:tr w:rsidR="00D10815" w:rsidRPr="007D011E" w:rsidTr="007D011E">
        <w:trPr>
          <w:trHeight w:val="2661"/>
        </w:trPr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1/4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2/8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3/12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1/5</w:t>
            </w:r>
          </w:p>
        </w:tc>
        <w:tc>
          <w:tcPr>
            <w:tcW w:w="2195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2/10</w:t>
            </w:r>
          </w:p>
        </w:tc>
      </w:tr>
      <w:tr w:rsidR="00D10815" w:rsidRPr="007D011E" w:rsidTr="007D011E">
        <w:trPr>
          <w:trHeight w:val="2661"/>
        </w:trPr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3/15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1/6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2/12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3/18</w:t>
            </w:r>
          </w:p>
        </w:tc>
        <w:tc>
          <w:tcPr>
            <w:tcW w:w="2195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1/7</w:t>
            </w:r>
          </w:p>
        </w:tc>
      </w:tr>
      <w:tr w:rsidR="00D10815" w:rsidRPr="007D011E" w:rsidTr="007D011E">
        <w:trPr>
          <w:trHeight w:val="2802"/>
        </w:trPr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2/14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3/21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1/8</w:t>
            </w:r>
          </w:p>
        </w:tc>
        <w:tc>
          <w:tcPr>
            <w:tcW w:w="2194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2/16</w:t>
            </w:r>
          </w:p>
        </w:tc>
        <w:tc>
          <w:tcPr>
            <w:tcW w:w="2195" w:type="dxa"/>
            <w:vAlign w:val="center"/>
          </w:tcPr>
          <w:p w:rsidR="00D10815" w:rsidRPr="007D011E" w:rsidRDefault="00D10815" w:rsidP="007D011E">
            <w:pPr>
              <w:jc w:val="center"/>
              <w:rPr>
                <w:sz w:val="72"/>
                <w:szCs w:val="72"/>
              </w:rPr>
            </w:pPr>
            <w:r w:rsidRPr="007D011E">
              <w:rPr>
                <w:sz w:val="72"/>
                <w:szCs w:val="72"/>
              </w:rPr>
              <w:t>3/24</w:t>
            </w:r>
          </w:p>
        </w:tc>
      </w:tr>
    </w:tbl>
    <w:p w:rsidR="00997E64" w:rsidRPr="00987964" w:rsidRDefault="00D10815" w:rsidP="0002497F">
      <w:pPr>
        <w:rPr>
          <w:b/>
          <w:sz w:val="44"/>
          <w:szCs w:val="44"/>
          <w:u w:val="single"/>
        </w:rPr>
      </w:pPr>
      <w:r w:rsidRPr="00987964">
        <w:rPr>
          <w:b/>
          <w:sz w:val="44"/>
          <w:szCs w:val="44"/>
          <w:u w:val="single"/>
        </w:rPr>
        <w:lastRenderedPageBreak/>
        <w:t>Equivalent Fraction Poster Rubric</w:t>
      </w:r>
    </w:p>
    <w:p w:rsidR="00D10815" w:rsidRPr="00987964" w:rsidRDefault="00D10815" w:rsidP="00D10815">
      <w:pPr>
        <w:rPr>
          <w:sz w:val="28"/>
          <w:szCs w:val="28"/>
        </w:rPr>
      </w:pPr>
      <w:r w:rsidRPr="00987964">
        <w:rPr>
          <w:sz w:val="28"/>
          <w:szCs w:val="28"/>
        </w:rPr>
        <w:t>Award each poster points for each component:</w:t>
      </w:r>
    </w:p>
    <w:p w:rsidR="00D10815" w:rsidRPr="00987964" w:rsidRDefault="00987964" w:rsidP="00987964">
      <w:pPr>
        <w:numPr>
          <w:ilvl w:val="0"/>
          <w:numId w:val="13"/>
        </w:numPr>
        <w:rPr>
          <w:sz w:val="28"/>
          <w:szCs w:val="28"/>
        </w:rPr>
      </w:pPr>
      <w:r w:rsidRPr="00987964">
        <w:rPr>
          <w:sz w:val="28"/>
          <w:szCs w:val="28"/>
        </w:rPr>
        <w:t>Work not shown</w:t>
      </w:r>
      <w:r w:rsidR="00D10815" w:rsidRPr="00987964">
        <w:rPr>
          <w:sz w:val="28"/>
          <w:szCs w:val="28"/>
        </w:rPr>
        <w:t xml:space="preserve"> </w:t>
      </w:r>
    </w:p>
    <w:p w:rsidR="00D10815" w:rsidRPr="00987964" w:rsidRDefault="00987964" w:rsidP="00D10815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Work shown</w:t>
      </w:r>
    </w:p>
    <w:p w:rsidR="00987964" w:rsidRPr="00987964" w:rsidRDefault="00987964" w:rsidP="00D10815">
      <w:pPr>
        <w:numPr>
          <w:ilvl w:val="0"/>
          <w:numId w:val="13"/>
        </w:numPr>
        <w:rPr>
          <w:sz w:val="28"/>
          <w:szCs w:val="28"/>
        </w:rPr>
      </w:pPr>
      <w:r w:rsidRPr="00987964">
        <w:rPr>
          <w:sz w:val="28"/>
          <w:szCs w:val="28"/>
        </w:rPr>
        <w:t>Work shown and very clear to reader</w:t>
      </w:r>
    </w:p>
    <w:p w:rsidR="00987964" w:rsidRDefault="00987964" w:rsidP="00987964">
      <w:pPr>
        <w:rPr>
          <w:b/>
          <w:sz w:val="28"/>
          <w:szCs w:val="28"/>
        </w:rPr>
      </w:pPr>
    </w:p>
    <w:tbl>
      <w:tblPr>
        <w:tblW w:w="1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5"/>
        <w:gridCol w:w="2715"/>
        <w:gridCol w:w="2233"/>
        <w:gridCol w:w="2296"/>
        <w:gridCol w:w="2083"/>
      </w:tblGrid>
      <w:tr w:rsidR="00987964" w:rsidRPr="007D011E" w:rsidTr="001625C6">
        <w:trPr>
          <w:trHeight w:val="890"/>
        </w:trPr>
        <w:tc>
          <w:tcPr>
            <w:tcW w:w="1845" w:type="dxa"/>
            <w:vAlign w:val="center"/>
          </w:tcPr>
          <w:p w:rsidR="00987964" w:rsidRPr="007D011E" w:rsidRDefault="00987964" w:rsidP="001625C6">
            <w:pPr>
              <w:jc w:val="center"/>
              <w:rPr>
                <w:b/>
                <w:sz w:val="28"/>
                <w:szCs w:val="28"/>
              </w:rPr>
            </w:pPr>
            <w:r w:rsidRPr="007D011E"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2715" w:type="dxa"/>
            <w:vAlign w:val="center"/>
          </w:tcPr>
          <w:p w:rsidR="00987964" w:rsidRPr="001625C6" w:rsidRDefault="00987964" w:rsidP="001625C6">
            <w:pPr>
              <w:jc w:val="center"/>
              <w:rPr>
                <w:b/>
                <w:sz w:val="24"/>
                <w:szCs w:val="28"/>
              </w:rPr>
            </w:pPr>
            <w:r w:rsidRPr="001625C6">
              <w:rPr>
                <w:b/>
                <w:sz w:val="24"/>
                <w:szCs w:val="28"/>
              </w:rPr>
              <w:t>Fractions are written as an equation showing their equivalence.</w:t>
            </w:r>
          </w:p>
        </w:tc>
        <w:tc>
          <w:tcPr>
            <w:tcW w:w="2233" w:type="dxa"/>
            <w:vAlign w:val="center"/>
          </w:tcPr>
          <w:p w:rsidR="00987964" w:rsidRPr="001625C6" w:rsidRDefault="00987964" w:rsidP="001625C6">
            <w:pPr>
              <w:jc w:val="center"/>
              <w:rPr>
                <w:b/>
                <w:sz w:val="24"/>
                <w:szCs w:val="28"/>
              </w:rPr>
            </w:pPr>
            <w:r w:rsidRPr="001625C6">
              <w:rPr>
                <w:b/>
                <w:sz w:val="24"/>
                <w:szCs w:val="28"/>
              </w:rPr>
              <w:t>Includes one other fraction that is equivalent.</w:t>
            </w:r>
          </w:p>
        </w:tc>
        <w:tc>
          <w:tcPr>
            <w:tcW w:w="2296" w:type="dxa"/>
            <w:vAlign w:val="center"/>
          </w:tcPr>
          <w:p w:rsidR="00987964" w:rsidRPr="001625C6" w:rsidRDefault="00987964" w:rsidP="001625C6">
            <w:pPr>
              <w:jc w:val="center"/>
              <w:rPr>
                <w:b/>
                <w:sz w:val="24"/>
                <w:szCs w:val="28"/>
              </w:rPr>
            </w:pPr>
            <w:r w:rsidRPr="001625C6">
              <w:rPr>
                <w:b/>
                <w:sz w:val="24"/>
                <w:szCs w:val="28"/>
              </w:rPr>
              <w:t>Shows how fractions are equivalent in two different ways.</w:t>
            </w:r>
          </w:p>
        </w:tc>
        <w:tc>
          <w:tcPr>
            <w:tcW w:w="2083" w:type="dxa"/>
            <w:vAlign w:val="center"/>
          </w:tcPr>
          <w:p w:rsidR="00987964" w:rsidRPr="001625C6" w:rsidRDefault="00987964" w:rsidP="001625C6">
            <w:pPr>
              <w:jc w:val="center"/>
              <w:rPr>
                <w:b/>
                <w:sz w:val="24"/>
                <w:szCs w:val="28"/>
              </w:rPr>
            </w:pPr>
            <w:r w:rsidRPr="001625C6">
              <w:rPr>
                <w:b/>
                <w:sz w:val="24"/>
                <w:szCs w:val="28"/>
              </w:rPr>
              <w:t>Total Points</w:t>
            </w:r>
          </w:p>
        </w:tc>
      </w:tr>
      <w:tr w:rsidR="00987964" w:rsidRPr="007D011E" w:rsidTr="001625C6">
        <w:trPr>
          <w:trHeight w:val="1253"/>
        </w:trPr>
        <w:tc>
          <w:tcPr>
            <w:tcW w:w="1845" w:type="dxa"/>
          </w:tcPr>
          <w:p w:rsidR="00987964" w:rsidRPr="007D011E" w:rsidRDefault="00987964" w:rsidP="007D011E">
            <w:pPr>
              <w:jc w:val="center"/>
              <w:rPr>
                <w:b/>
                <w:sz w:val="44"/>
                <w:szCs w:val="44"/>
              </w:rPr>
            </w:pPr>
            <w:r w:rsidRPr="007D011E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2715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964" w:rsidRPr="007D011E" w:rsidTr="001625C6">
        <w:trPr>
          <w:trHeight w:val="1253"/>
        </w:trPr>
        <w:tc>
          <w:tcPr>
            <w:tcW w:w="1845" w:type="dxa"/>
          </w:tcPr>
          <w:p w:rsidR="00987964" w:rsidRPr="007D011E" w:rsidRDefault="00987964" w:rsidP="007D011E">
            <w:pPr>
              <w:jc w:val="center"/>
              <w:rPr>
                <w:b/>
                <w:sz w:val="44"/>
                <w:szCs w:val="44"/>
              </w:rPr>
            </w:pPr>
            <w:r w:rsidRPr="007D011E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715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964" w:rsidRPr="007D011E" w:rsidTr="001625C6">
        <w:trPr>
          <w:trHeight w:val="1253"/>
        </w:trPr>
        <w:tc>
          <w:tcPr>
            <w:tcW w:w="1845" w:type="dxa"/>
          </w:tcPr>
          <w:p w:rsidR="00987964" w:rsidRPr="007D011E" w:rsidRDefault="00987964" w:rsidP="007D011E">
            <w:pPr>
              <w:jc w:val="center"/>
              <w:rPr>
                <w:b/>
                <w:sz w:val="44"/>
                <w:szCs w:val="44"/>
              </w:rPr>
            </w:pPr>
            <w:r w:rsidRPr="007D011E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2715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964" w:rsidRPr="007D011E" w:rsidTr="001625C6">
        <w:trPr>
          <w:trHeight w:val="1253"/>
        </w:trPr>
        <w:tc>
          <w:tcPr>
            <w:tcW w:w="1845" w:type="dxa"/>
          </w:tcPr>
          <w:p w:rsidR="00987964" w:rsidRPr="007D011E" w:rsidRDefault="00987964" w:rsidP="007D011E">
            <w:pPr>
              <w:jc w:val="center"/>
              <w:rPr>
                <w:b/>
                <w:sz w:val="44"/>
                <w:szCs w:val="44"/>
              </w:rPr>
            </w:pPr>
            <w:r w:rsidRPr="007D011E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715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964" w:rsidRPr="007D011E" w:rsidTr="001625C6">
        <w:trPr>
          <w:trHeight w:val="1253"/>
        </w:trPr>
        <w:tc>
          <w:tcPr>
            <w:tcW w:w="1845" w:type="dxa"/>
          </w:tcPr>
          <w:p w:rsidR="00987964" w:rsidRPr="007D011E" w:rsidRDefault="00987964" w:rsidP="007D011E">
            <w:pPr>
              <w:jc w:val="center"/>
              <w:rPr>
                <w:b/>
                <w:sz w:val="44"/>
                <w:szCs w:val="44"/>
              </w:rPr>
            </w:pPr>
            <w:r w:rsidRPr="007D011E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2715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964" w:rsidRPr="007D011E" w:rsidTr="001625C6">
        <w:trPr>
          <w:trHeight w:val="1253"/>
        </w:trPr>
        <w:tc>
          <w:tcPr>
            <w:tcW w:w="1845" w:type="dxa"/>
          </w:tcPr>
          <w:p w:rsidR="00987964" w:rsidRPr="007D011E" w:rsidRDefault="00987964" w:rsidP="007D011E">
            <w:pPr>
              <w:jc w:val="center"/>
              <w:rPr>
                <w:b/>
                <w:sz w:val="44"/>
                <w:szCs w:val="44"/>
              </w:rPr>
            </w:pPr>
            <w:r w:rsidRPr="007D011E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2715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964" w:rsidRPr="007D011E" w:rsidTr="001625C6">
        <w:trPr>
          <w:trHeight w:val="1253"/>
        </w:trPr>
        <w:tc>
          <w:tcPr>
            <w:tcW w:w="1845" w:type="dxa"/>
          </w:tcPr>
          <w:p w:rsidR="00987964" w:rsidRPr="007D011E" w:rsidRDefault="00987964" w:rsidP="007D011E">
            <w:pPr>
              <w:jc w:val="center"/>
              <w:rPr>
                <w:b/>
                <w:sz w:val="44"/>
                <w:szCs w:val="44"/>
              </w:rPr>
            </w:pPr>
            <w:r w:rsidRPr="007D011E">
              <w:rPr>
                <w:b/>
                <w:sz w:val="44"/>
                <w:szCs w:val="44"/>
              </w:rPr>
              <w:t>7</w:t>
            </w:r>
          </w:p>
        </w:tc>
        <w:tc>
          <w:tcPr>
            <w:tcW w:w="2715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87964" w:rsidRPr="007D011E" w:rsidTr="001625C6">
        <w:trPr>
          <w:trHeight w:val="1312"/>
        </w:trPr>
        <w:tc>
          <w:tcPr>
            <w:tcW w:w="1845" w:type="dxa"/>
          </w:tcPr>
          <w:p w:rsidR="00987964" w:rsidRPr="007D011E" w:rsidRDefault="00987964" w:rsidP="007D011E">
            <w:pPr>
              <w:jc w:val="center"/>
              <w:rPr>
                <w:b/>
                <w:sz w:val="44"/>
                <w:szCs w:val="44"/>
              </w:rPr>
            </w:pPr>
            <w:r w:rsidRPr="007D011E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2715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3" w:type="dxa"/>
          </w:tcPr>
          <w:p w:rsidR="00987964" w:rsidRPr="007D011E" w:rsidRDefault="00987964" w:rsidP="007D01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87964" w:rsidRPr="00BE3365" w:rsidRDefault="00987964" w:rsidP="001625C6">
      <w:pPr>
        <w:rPr>
          <w:b/>
          <w:sz w:val="28"/>
          <w:szCs w:val="28"/>
        </w:rPr>
      </w:pPr>
    </w:p>
    <w:sectPr w:rsidR="00987964" w:rsidRPr="00BE3365" w:rsidSect="00B55CBD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9A" w:rsidRDefault="00C33B9A" w:rsidP="00997E64">
      <w:r>
        <w:separator/>
      </w:r>
    </w:p>
  </w:endnote>
  <w:endnote w:type="continuationSeparator" w:id="0">
    <w:p w:rsidR="00C33B9A" w:rsidRDefault="00C33B9A" w:rsidP="0099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BD" w:rsidRDefault="007C1965">
    <w:pPr>
      <w:pStyle w:val="Footer"/>
    </w:pPr>
    <w:r>
      <w:t>Last revised 5-9-13</w:t>
    </w:r>
    <w:r w:rsidR="001625C6">
      <w:ptab w:relativeTo="margin" w:alignment="center" w:leader="none"/>
    </w:r>
    <w:fldSimple w:instr=" PAGE   \* MERGEFORMAT ">
      <w:r>
        <w:rPr>
          <w:noProof/>
        </w:rPr>
        <w:t>4</w:t>
      </w:r>
    </w:fldSimple>
    <w:r w:rsidR="001625C6">
      <w:ptab w:relativeTo="margin" w:alignment="right" w:leader="none"/>
    </w:r>
    <w:r w:rsidR="001625C6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9A" w:rsidRDefault="00C33B9A" w:rsidP="00997E64">
      <w:r>
        <w:separator/>
      </w:r>
    </w:p>
  </w:footnote>
  <w:footnote w:type="continuationSeparator" w:id="0">
    <w:p w:rsidR="00C33B9A" w:rsidRDefault="00C33B9A" w:rsidP="0099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C6" w:rsidRDefault="001625C6">
    <w:pPr>
      <w:pStyle w:val="Header"/>
    </w:pPr>
    <w:r>
      <w:t>3</w:t>
    </w:r>
    <w:r w:rsidRPr="001625C6">
      <w:rPr>
        <w:vertAlign w:val="superscript"/>
      </w:rPr>
      <w:t>rd</w:t>
    </w:r>
    <w:r>
      <w:t xml:space="preserve"> Grade</w:t>
    </w:r>
    <w:r>
      <w:ptab w:relativeTo="margin" w:alignment="center" w:leader="none"/>
    </w:r>
    <w:r>
      <w:t xml:space="preserve"> </w:t>
    </w:r>
    <w:r>
      <w:ptab w:relativeTo="margin" w:alignment="right" w:leader="none"/>
    </w:r>
    <w:r w:rsidR="007C1965"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DA3"/>
    <w:multiLevelType w:val="hybridMultilevel"/>
    <w:tmpl w:val="5962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94023"/>
    <w:multiLevelType w:val="hybridMultilevel"/>
    <w:tmpl w:val="BA223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26125"/>
    <w:multiLevelType w:val="hybridMultilevel"/>
    <w:tmpl w:val="624C5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5A7C"/>
    <w:multiLevelType w:val="hybridMultilevel"/>
    <w:tmpl w:val="70E8F2D6"/>
    <w:lvl w:ilvl="0" w:tplc="D576A5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7544C"/>
    <w:multiLevelType w:val="hybridMultilevel"/>
    <w:tmpl w:val="9A52E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7E8C"/>
    <w:multiLevelType w:val="hybridMultilevel"/>
    <w:tmpl w:val="0A8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30F80"/>
    <w:multiLevelType w:val="hybridMultilevel"/>
    <w:tmpl w:val="644C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63057"/>
    <w:multiLevelType w:val="hybridMultilevel"/>
    <w:tmpl w:val="58A8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D7ECC"/>
    <w:multiLevelType w:val="hybridMultilevel"/>
    <w:tmpl w:val="52A03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F1B15"/>
    <w:multiLevelType w:val="hybridMultilevel"/>
    <w:tmpl w:val="ED7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C66C9"/>
    <w:multiLevelType w:val="hybridMultilevel"/>
    <w:tmpl w:val="E322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650D6"/>
    <w:multiLevelType w:val="hybridMultilevel"/>
    <w:tmpl w:val="D83E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E7BAC"/>
    <w:multiLevelType w:val="hybridMultilevel"/>
    <w:tmpl w:val="7D28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7F"/>
    <w:rsid w:val="0001036A"/>
    <w:rsid w:val="0002497F"/>
    <w:rsid w:val="000675C2"/>
    <w:rsid w:val="00074F00"/>
    <w:rsid w:val="00083F04"/>
    <w:rsid w:val="000B70B6"/>
    <w:rsid w:val="000C4551"/>
    <w:rsid w:val="000C540E"/>
    <w:rsid w:val="001625C6"/>
    <w:rsid w:val="001A3A9B"/>
    <w:rsid w:val="001B1F5E"/>
    <w:rsid w:val="001E0F14"/>
    <w:rsid w:val="002418A6"/>
    <w:rsid w:val="002676E8"/>
    <w:rsid w:val="002819FA"/>
    <w:rsid w:val="0028486B"/>
    <w:rsid w:val="002D7F82"/>
    <w:rsid w:val="002E3B14"/>
    <w:rsid w:val="002E6E2B"/>
    <w:rsid w:val="003121BA"/>
    <w:rsid w:val="00327471"/>
    <w:rsid w:val="0034627D"/>
    <w:rsid w:val="00361BD1"/>
    <w:rsid w:val="003E69CA"/>
    <w:rsid w:val="00417539"/>
    <w:rsid w:val="00422E68"/>
    <w:rsid w:val="00432076"/>
    <w:rsid w:val="0043724D"/>
    <w:rsid w:val="004474BB"/>
    <w:rsid w:val="00452813"/>
    <w:rsid w:val="0046256A"/>
    <w:rsid w:val="00520774"/>
    <w:rsid w:val="00591EA1"/>
    <w:rsid w:val="005D308C"/>
    <w:rsid w:val="005F3492"/>
    <w:rsid w:val="006A7BC6"/>
    <w:rsid w:val="00753865"/>
    <w:rsid w:val="007C1094"/>
    <w:rsid w:val="007C1965"/>
    <w:rsid w:val="007D011E"/>
    <w:rsid w:val="007D32C9"/>
    <w:rsid w:val="007D6F2F"/>
    <w:rsid w:val="007E660C"/>
    <w:rsid w:val="00880904"/>
    <w:rsid w:val="009236D3"/>
    <w:rsid w:val="009630FD"/>
    <w:rsid w:val="00987964"/>
    <w:rsid w:val="00997E64"/>
    <w:rsid w:val="009A660A"/>
    <w:rsid w:val="009B6A3A"/>
    <w:rsid w:val="009C7907"/>
    <w:rsid w:val="009E6345"/>
    <w:rsid w:val="00A0276A"/>
    <w:rsid w:val="00A112DC"/>
    <w:rsid w:val="00A27AF4"/>
    <w:rsid w:val="00A83447"/>
    <w:rsid w:val="00AA6991"/>
    <w:rsid w:val="00AB0640"/>
    <w:rsid w:val="00AC037F"/>
    <w:rsid w:val="00B248E1"/>
    <w:rsid w:val="00B261E0"/>
    <w:rsid w:val="00B55CBD"/>
    <w:rsid w:val="00B576DB"/>
    <w:rsid w:val="00BC3BF3"/>
    <w:rsid w:val="00BE3365"/>
    <w:rsid w:val="00C167B4"/>
    <w:rsid w:val="00C33B9A"/>
    <w:rsid w:val="00CA4B4C"/>
    <w:rsid w:val="00CB79E1"/>
    <w:rsid w:val="00D02869"/>
    <w:rsid w:val="00D10815"/>
    <w:rsid w:val="00D60D89"/>
    <w:rsid w:val="00D720B3"/>
    <w:rsid w:val="00DB7662"/>
    <w:rsid w:val="00E4388B"/>
    <w:rsid w:val="00E659B5"/>
    <w:rsid w:val="00E67DDB"/>
    <w:rsid w:val="00F34232"/>
    <w:rsid w:val="00F62486"/>
    <w:rsid w:val="00F7263F"/>
    <w:rsid w:val="00F832EC"/>
    <w:rsid w:val="00FA016B"/>
    <w:rsid w:val="00FA3A82"/>
    <w:rsid w:val="00FF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7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9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97F"/>
    <w:rPr>
      <w:color w:val="0000FF"/>
      <w:u w:val="single"/>
    </w:rPr>
  </w:style>
  <w:style w:type="paragraph" w:customStyle="1" w:styleId="Default">
    <w:name w:val="Default"/>
    <w:rsid w:val="00024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3F0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7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E6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97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7E6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C7E46-13A3-47BA-8A5D-5142E072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 User</cp:lastModifiedBy>
  <cp:revision>3</cp:revision>
  <cp:lastPrinted>2012-03-27T17:35:00Z</cp:lastPrinted>
  <dcterms:created xsi:type="dcterms:W3CDTF">2012-04-04T18:20:00Z</dcterms:created>
  <dcterms:modified xsi:type="dcterms:W3CDTF">2013-05-09T19:05:00Z</dcterms:modified>
</cp:coreProperties>
</file>