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342" w:tblpY="1816"/>
        <w:tblW w:w="11718" w:type="dxa"/>
        <w:tblLayout w:type="fixed"/>
        <w:tblLook w:val="04A0"/>
      </w:tblPr>
      <w:tblGrid>
        <w:gridCol w:w="1548"/>
        <w:gridCol w:w="3619"/>
        <w:gridCol w:w="6551"/>
      </w:tblGrid>
      <w:tr w:rsidR="00422CFE" w:rsidTr="00F82A0A">
        <w:trPr>
          <w:trHeight w:val="547"/>
        </w:trPr>
        <w:tc>
          <w:tcPr>
            <w:tcW w:w="1548" w:type="dxa"/>
            <w:vAlign w:val="center"/>
          </w:tcPr>
          <w:p w:rsidR="00422CFE" w:rsidRPr="00422CFE" w:rsidRDefault="00422CFE" w:rsidP="00F82A0A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F82A0A">
            <w:pPr>
              <w:jc w:val="center"/>
            </w:pPr>
          </w:p>
        </w:tc>
        <w:tc>
          <w:tcPr>
            <w:tcW w:w="10170" w:type="dxa"/>
            <w:gridSpan w:val="2"/>
          </w:tcPr>
          <w:p w:rsidR="00422CFE" w:rsidRPr="00422CFE" w:rsidRDefault="005B14D2" w:rsidP="00F82A0A">
            <w:pPr>
              <w:rPr>
                <w:b/>
              </w:rPr>
            </w:pPr>
            <w:r>
              <w:rPr>
                <w:b/>
              </w:rPr>
              <w:t>A Colorful Time With Rhythm and Rhyme</w:t>
            </w:r>
          </w:p>
          <w:p w:rsidR="00422CFE" w:rsidRDefault="00422CFE" w:rsidP="00F82A0A">
            <w:r>
              <w:t xml:space="preserve">Unit Essential Question:  </w:t>
            </w:r>
            <w:r w:rsidRPr="00422CFE">
              <w:rPr>
                <w:i/>
              </w:rPr>
              <w:t>How do</w:t>
            </w:r>
            <w:r w:rsidR="005B14D2">
              <w:rPr>
                <w:i/>
              </w:rPr>
              <w:t>es rhyme affect the way that we hear and read poetry</w:t>
            </w:r>
            <w:r w:rsidRPr="00422CFE">
              <w:rPr>
                <w:i/>
              </w:rPr>
              <w:t>?</w:t>
            </w:r>
          </w:p>
        </w:tc>
      </w:tr>
      <w:tr w:rsidR="00422CFE" w:rsidTr="00F82A0A">
        <w:trPr>
          <w:trHeight w:val="547"/>
        </w:trPr>
        <w:tc>
          <w:tcPr>
            <w:tcW w:w="1548" w:type="dxa"/>
            <w:vAlign w:val="center"/>
          </w:tcPr>
          <w:p w:rsidR="00422CFE" w:rsidRPr="00422CFE" w:rsidRDefault="00422CFE" w:rsidP="00F82A0A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10170" w:type="dxa"/>
            <w:gridSpan w:val="2"/>
          </w:tcPr>
          <w:p w:rsidR="00422CFE" w:rsidRDefault="00422CFE" w:rsidP="00F82A0A">
            <w:r>
              <w:t>Cop</w:t>
            </w:r>
            <w:r w:rsidR="005B14D2">
              <w:t>y</w:t>
            </w:r>
            <w:r>
              <w:t xml:space="preserve"> of </w:t>
            </w:r>
            <w:r w:rsidR="005B14D2" w:rsidRPr="00F82A0A">
              <w:rPr>
                <w:u w:val="single"/>
              </w:rPr>
              <w:t>Red is a Dragon</w:t>
            </w:r>
          </w:p>
          <w:p w:rsidR="0045314B" w:rsidRDefault="0045314B" w:rsidP="00F82A0A">
            <w:r>
              <w:t>Sorting mats</w:t>
            </w:r>
          </w:p>
          <w:p w:rsidR="0045314B" w:rsidRDefault="0045314B" w:rsidP="00F82A0A">
            <w:r>
              <w:t>Color journal</w:t>
            </w:r>
          </w:p>
          <w:p w:rsidR="0045314B" w:rsidRDefault="0045314B" w:rsidP="00F82A0A">
            <w:r>
              <w:t>Objects to sort</w:t>
            </w:r>
          </w:p>
        </w:tc>
      </w:tr>
      <w:tr w:rsidR="009E7188" w:rsidTr="00F82A0A">
        <w:trPr>
          <w:trHeight w:val="547"/>
        </w:trPr>
        <w:tc>
          <w:tcPr>
            <w:tcW w:w="1548" w:type="dxa"/>
          </w:tcPr>
          <w:p w:rsidR="009E7188" w:rsidRDefault="009E7188" w:rsidP="00F82A0A">
            <w:r>
              <w:t>STANDARD</w:t>
            </w:r>
            <w:r w:rsidR="009676BE">
              <w:t>S</w:t>
            </w:r>
          </w:p>
        </w:tc>
        <w:tc>
          <w:tcPr>
            <w:tcW w:w="10170" w:type="dxa"/>
            <w:gridSpan w:val="2"/>
          </w:tcPr>
          <w:p w:rsidR="005B14D2" w:rsidRDefault="005B14D2" w:rsidP="00F82A0A">
            <w:pPr>
              <w:pStyle w:val="Default"/>
            </w:pPr>
          </w:p>
          <w:tbl>
            <w:tblPr>
              <w:tblW w:w="10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11"/>
            </w:tblGrid>
            <w:tr w:rsidR="005B14D2" w:rsidTr="00F82A0A">
              <w:trPr>
                <w:trHeight w:val="110"/>
              </w:trPr>
              <w:tc>
                <w:tcPr>
                  <w:tcW w:w="10311" w:type="dxa"/>
                </w:tcPr>
                <w:p w:rsidR="005B14D2" w:rsidRDefault="005B14D2" w:rsidP="00F82A0A">
                  <w:pPr>
                    <w:pStyle w:val="Default"/>
                    <w:framePr w:hSpace="180" w:wrap="around" w:vAnchor="page" w:hAnchor="margin" w:x="-342" w:y="181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L.K.5 With guidance and support from adults, explore word relationships and nuances in word meanings. </w:t>
                  </w:r>
                </w:p>
              </w:tc>
            </w:tr>
            <w:tr w:rsidR="005B14D2" w:rsidTr="00F82A0A">
              <w:trPr>
                <w:trHeight w:val="110"/>
              </w:trPr>
              <w:tc>
                <w:tcPr>
                  <w:tcW w:w="10311" w:type="dxa"/>
                </w:tcPr>
                <w:p w:rsidR="005B14D2" w:rsidRDefault="005B14D2" w:rsidP="00F82A0A">
                  <w:pPr>
                    <w:pStyle w:val="Default"/>
                    <w:framePr w:hSpace="180" w:wrap="around" w:vAnchor="page" w:hAnchor="margin" w:x="-342" w:y="1816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Sort common objects into categories (e.g., shapes, foods) to gain a sense of the concepts the categories represent. </w:t>
                  </w:r>
                </w:p>
              </w:tc>
            </w:tr>
          </w:tbl>
          <w:p w:rsidR="00422CFE" w:rsidRDefault="00422CFE" w:rsidP="00F82A0A"/>
        </w:tc>
      </w:tr>
      <w:tr w:rsidR="009E7188" w:rsidTr="00F82A0A">
        <w:trPr>
          <w:trHeight w:val="239"/>
        </w:trPr>
        <w:tc>
          <w:tcPr>
            <w:tcW w:w="1548" w:type="dxa"/>
          </w:tcPr>
          <w:p w:rsidR="009E7188" w:rsidRPr="009E7188" w:rsidRDefault="009E7188" w:rsidP="00F82A0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619" w:type="dxa"/>
          </w:tcPr>
          <w:p w:rsidR="009E7188" w:rsidRPr="009E7188" w:rsidRDefault="009E7188" w:rsidP="00F82A0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551" w:type="dxa"/>
          </w:tcPr>
          <w:p w:rsidR="009E7188" w:rsidRPr="009E7188" w:rsidRDefault="009E7188" w:rsidP="0045314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F82A0A">
        <w:trPr>
          <w:trHeight w:val="990"/>
        </w:trPr>
        <w:tc>
          <w:tcPr>
            <w:tcW w:w="1548" w:type="dxa"/>
          </w:tcPr>
          <w:p w:rsidR="00FD3C52" w:rsidRDefault="00FD3C52" w:rsidP="00F82A0A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3C11E4" w:rsidP="0045314B">
            <w:pPr>
              <w:rPr>
                <w:b/>
              </w:rPr>
            </w:pPr>
          </w:p>
        </w:tc>
        <w:tc>
          <w:tcPr>
            <w:tcW w:w="3619" w:type="dxa"/>
          </w:tcPr>
          <w:p w:rsidR="00FD3C52" w:rsidRPr="00A93FE8" w:rsidRDefault="00FD3C52" w:rsidP="00F82A0A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F82A0A">
            <w:pPr>
              <w:rPr>
                <w:sz w:val="16"/>
                <w:szCs w:val="16"/>
              </w:rPr>
            </w:pPr>
          </w:p>
          <w:p w:rsidR="00FD3C52" w:rsidRDefault="00FD3C52" w:rsidP="00F82A0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F82A0A">
            <w:pPr>
              <w:rPr>
                <w:sz w:val="16"/>
                <w:szCs w:val="16"/>
              </w:rPr>
            </w:pPr>
          </w:p>
        </w:tc>
        <w:tc>
          <w:tcPr>
            <w:tcW w:w="6551" w:type="dxa"/>
            <w:vAlign w:val="center"/>
          </w:tcPr>
          <w:p w:rsidR="00EC3CDB" w:rsidRDefault="00EC3CDB" w:rsidP="00F82A0A">
            <w:pPr>
              <w:jc w:val="center"/>
              <w:rPr>
                <w:rFonts w:ascii="Comic Sans MS" w:hAnsi="Comic Sans MS"/>
              </w:rPr>
            </w:pPr>
          </w:p>
          <w:p w:rsidR="0099674B" w:rsidRPr="009676BE" w:rsidRDefault="003A2A33" w:rsidP="00F90A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</w:t>
            </w:r>
            <w:r w:rsidR="00F82A0A">
              <w:rPr>
                <w:rFonts w:ascii="Comic Sans MS" w:hAnsi="Comic Sans MS"/>
              </w:rPr>
              <w:t>can sort common objects into categories (colors)</w:t>
            </w:r>
            <w:r w:rsidR="0045314B">
              <w:rPr>
                <w:rFonts w:ascii="Comic Sans MS" w:hAnsi="Comic Sans MS"/>
              </w:rPr>
              <w:t xml:space="preserve"> and tell how I sorted them</w:t>
            </w:r>
            <w:r w:rsidR="00F90A71">
              <w:rPr>
                <w:rFonts w:ascii="Comic Sans MS" w:hAnsi="Comic Sans MS"/>
              </w:rPr>
              <w:t xml:space="preserve"> using the words “I can sort..</w:t>
            </w:r>
            <w:r w:rsidR="0045314B">
              <w:rPr>
                <w:rFonts w:ascii="Comic Sans MS" w:hAnsi="Comic Sans MS"/>
              </w:rPr>
              <w:t>.</w:t>
            </w:r>
            <w:proofErr w:type="gramStart"/>
            <w:r w:rsidR="00F90A71">
              <w:rPr>
                <w:rFonts w:ascii="Comic Sans MS" w:hAnsi="Comic Sans MS"/>
              </w:rPr>
              <w:t>”.</w:t>
            </w:r>
            <w:proofErr w:type="gramEnd"/>
          </w:p>
        </w:tc>
      </w:tr>
      <w:tr w:rsidR="009E7188" w:rsidTr="00F82A0A">
        <w:trPr>
          <w:trHeight w:val="990"/>
        </w:trPr>
        <w:tc>
          <w:tcPr>
            <w:tcW w:w="1548" w:type="dxa"/>
          </w:tcPr>
          <w:p w:rsidR="00FD3C52" w:rsidRDefault="00FD3C52" w:rsidP="00F82A0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F82A0A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F82A0A">
            <w:pPr>
              <w:rPr>
                <w:b/>
                <w:sz w:val="20"/>
                <w:szCs w:val="20"/>
              </w:rPr>
            </w:pPr>
          </w:p>
        </w:tc>
        <w:tc>
          <w:tcPr>
            <w:tcW w:w="3619" w:type="dxa"/>
          </w:tcPr>
          <w:p w:rsidR="00FD3C52" w:rsidRPr="00A93FE8" w:rsidRDefault="00FD3C52" w:rsidP="00F82A0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FD3C52" w:rsidRPr="00A93FE8" w:rsidRDefault="00FD3C52" w:rsidP="00F82A0A">
            <w:pPr>
              <w:rPr>
                <w:sz w:val="16"/>
                <w:szCs w:val="16"/>
              </w:rPr>
            </w:pPr>
          </w:p>
          <w:p w:rsidR="00FD3C52" w:rsidRPr="00A93FE8" w:rsidRDefault="00FD3C52" w:rsidP="00F82A0A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F82A0A">
            <w:pPr>
              <w:rPr>
                <w:sz w:val="16"/>
                <w:szCs w:val="16"/>
              </w:rPr>
            </w:pPr>
          </w:p>
          <w:p w:rsidR="00FD3C52" w:rsidRPr="00A93FE8" w:rsidRDefault="00FD3C52" w:rsidP="00F82A0A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551" w:type="dxa"/>
            <w:vAlign w:val="center"/>
          </w:tcPr>
          <w:p w:rsidR="00F82A0A" w:rsidRDefault="0045314B" w:rsidP="00F82A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Show the rainbow colors song on 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45314B" w:rsidRDefault="00DA09A6" w:rsidP="00F82A0A">
            <w:pPr>
              <w:rPr>
                <w:rFonts w:ascii="Comic Sans MS" w:hAnsi="Comic Sans MS"/>
              </w:rPr>
            </w:pPr>
            <w:hyperlink r:id="rId7" w:history="1">
              <w:r w:rsidR="0045314B" w:rsidRPr="00A43DAA">
                <w:rPr>
                  <w:rStyle w:val="Hyperlink"/>
                  <w:rFonts w:ascii="Comic Sans MS" w:hAnsi="Comic Sans MS"/>
                </w:rPr>
                <w:t>http://www.youtube.com/watch?v=tRNy2i75tCc</w:t>
              </w:r>
            </w:hyperlink>
          </w:p>
          <w:p w:rsidR="0045314B" w:rsidRPr="009676BE" w:rsidRDefault="0045314B" w:rsidP="004531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your favorite color and why? </w:t>
            </w:r>
          </w:p>
        </w:tc>
      </w:tr>
      <w:tr w:rsidR="009E7188" w:rsidTr="00F82A0A">
        <w:trPr>
          <w:trHeight w:val="3602"/>
        </w:trPr>
        <w:tc>
          <w:tcPr>
            <w:tcW w:w="1548" w:type="dxa"/>
          </w:tcPr>
          <w:p w:rsidR="009E7188" w:rsidRDefault="009E7188" w:rsidP="00F82A0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  <w:p w:rsidR="00422CFE" w:rsidRDefault="00422CFE" w:rsidP="00F82A0A">
            <w:pPr>
              <w:rPr>
                <w:b/>
                <w:sz w:val="20"/>
                <w:szCs w:val="20"/>
              </w:rPr>
            </w:pPr>
          </w:p>
          <w:p w:rsidR="00422CFE" w:rsidRPr="009E7188" w:rsidRDefault="00422CFE" w:rsidP="0045314B">
            <w:pPr>
              <w:rPr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9E7188" w:rsidRPr="00A93FE8" w:rsidRDefault="009E7188" w:rsidP="00F82A0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</w:t>
            </w:r>
            <w:r w:rsidRPr="00370784">
              <w:rPr>
                <w:sz w:val="16"/>
                <w:szCs w:val="16"/>
                <w:highlight w:val="yellow"/>
              </w:rPr>
              <w:t>3)  Summarizing and Note Taking</w:t>
            </w:r>
          </w:p>
          <w:p w:rsidR="009E7188" w:rsidRPr="00A93FE8" w:rsidRDefault="009E7188" w:rsidP="00F82A0A">
            <w:pPr>
              <w:rPr>
                <w:sz w:val="16"/>
                <w:szCs w:val="16"/>
              </w:rPr>
            </w:pPr>
          </w:p>
          <w:p w:rsidR="009E7188" w:rsidRPr="00A93FE8" w:rsidRDefault="009E7188" w:rsidP="00F82A0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F82A0A">
            <w:pPr>
              <w:rPr>
                <w:sz w:val="16"/>
                <w:szCs w:val="16"/>
              </w:rPr>
            </w:pPr>
          </w:p>
          <w:p w:rsidR="009E7188" w:rsidRPr="00A93FE8" w:rsidRDefault="009E7188" w:rsidP="00F82A0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551" w:type="dxa"/>
          </w:tcPr>
          <w:p w:rsidR="00370784" w:rsidRDefault="00EC3CDB" w:rsidP="00F82A0A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are going to </w:t>
            </w:r>
            <w:r w:rsidR="00F82A0A">
              <w:rPr>
                <w:rFonts w:ascii="Comic Sans MS" w:hAnsi="Comic Sans MS"/>
              </w:rPr>
              <w:t xml:space="preserve">read the story </w:t>
            </w:r>
            <w:r w:rsidR="00F82A0A" w:rsidRPr="00F82A0A">
              <w:rPr>
                <w:rFonts w:ascii="Comic Sans MS" w:hAnsi="Comic Sans MS"/>
                <w:u w:val="single"/>
              </w:rPr>
              <w:t>Red Is A Dragon</w:t>
            </w:r>
            <w:r w:rsidR="00F82A0A">
              <w:rPr>
                <w:rFonts w:ascii="Comic Sans MS" w:hAnsi="Comic Sans MS"/>
              </w:rPr>
              <w:t>.</w:t>
            </w:r>
            <w:r w:rsidR="0045314B">
              <w:rPr>
                <w:rFonts w:ascii="Comic Sans MS" w:hAnsi="Comic Sans MS"/>
              </w:rPr>
              <w:t xml:space="preserve"> This is a story about a girl and all of the things she sees in her life.  We are going to read to find out how the author </w:t>
            </w:r>
            <w:r w:rsidR="00F90A71">
              <w:rPr>
                <w:rFonts w:ascii="Comic Sans MS" w:hAnsi="Comic Sans MS"/>
              </w:rPr>
              <w:t>sorts t</w:t>
            </w:r>
            <w:r w:rsidR="0045314B">
              <w:rPr>
                <w:rFonts w:ascii="Comic Sans MS" w:hAnsi="Comic Sans MS"/>
              </w:rPr>
              <w:t xml:space="preserve">hese things together into </w:t>
            </w:r>
            <w:r w:rsidR="00F90A71">
              <w:rPr>
                <w:rFonts w:ascii="Comic Sans MS" w:hAnsi="Comic Sans MS"/>
              </w:rPr>
              <w:t>groups</w:t>
            </w:r>
            <w:r w:rsidR="0045314B">
              <w:rPr>
                <w:rFonts w:ascii="Comic Sans MS" w:hAnsi="Comic Sans MS"/>
              </w:rPr>
              <w:t>.</w:t>
            </w:r>
            <w:r w:rsidR="00F90A71">
              <w:rPr>
                <w:rFonts w:ascii="Comic Sans MS" w:hAnsi="Comic Sans MS"/>
              </w:rPr>
              <w:t xml:space="preserve">  When you sort, you put things that are the same into groups.</w:t>
            </w:r>
          </w:p>
          <w:p w:rsidR="0045314B" w:rsidRDefault="0045314B" w:rsidP="00F82A0A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45314B" w:rsidRDefault="0045314B" w:rsidP="00F82A0A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the story.</w:t>
            </w:r>
          </w:p>
          <w:p w:rsidR="0045314B" w:rsidRDefault="0045314B" w:rsidP="00F82A0A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back to the “red” pages at the beginning of the book.</w:t>
            </w:r>
            <w:r w:rsidR="00F90A71">
              <w:rPr>
                <w:rFonts w:ascii="Comic Sans MS" w:hAnsi="Comic Sans MS"/>
              </w:rPr>
              <w:t xml:space="preserve">  Tell the students the author sorted these things by the color red.  </w:t>
            </w:r>
          </w:p>
          <w:p w:rsidR="0045314B" w:rsidRDefault="0045314B" w:rsidP="00F82A0A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 looking at the illustrations and discuss how the author grouped the</w:t>
            </w:r>
            <w:r w:rsidR="00F90A71">
              <w:rPr>
                <w:rFonts w:ascii="Comic Sans MS" w:hAnsi="Comic Sans MS"/>
              </w:rPr>
              <w:t xml:space="preserve"> other</w:t>
            </w:r>
            <w:r>
              <w:rPr>
                <w:rFonts w:ascii="Comic Sans MS" w:hAnsi="Comic Sans MS"/>
              </w:rPr>
              <w:t xml:space="preserve"> things together</w:t>
            </w:r>
            <w:r w:rsidR="00F90A71">
              <w:rPr>
                <w:rFonts w:ascii="Comic Sans MS" w:hAnsi="Comic Sans MS"/>
              </w:rPr>
              <w:t xml:space="preserve"> on each page</w:t>
            </w:r>
            <w:r>
              <w:rPr>
                <w:rFonts w:ascii="Comic Sans MS" w:hAnsi="Comic Sans MS"/>
              </w:rPr>
              <w:t>.</w:t>
            </w:r>
          </w:p>
          <w:p w:rsidR="00EC3CDB" w:rsidRDefault="00EC3CDB" w:rsidP="00F82A0A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EC3CDB" w:rsidRDefault="00EC3CDB" w:rsidP="00F82A0A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370784" w:rsidRPr="00370784" w:rsidRDefault="00370784" w:rsidP="006C7CFB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99674B" w:rsidRDefault="0099674B">
      <w:r>
        <w:br w:type="page"/>
      </w:r>
    </w:p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9E7188" w:rsidTr="009676BE">
        <w:trPr>
          <w:trHeight w:val="2551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422CFE" w:rsidRPr="009E7188" w:rsidRDefault="00422CFE" w:rsidP="006C7CFB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</w:rPr>
              <w:t>(2) Indentifying Similarities and Differences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1462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EC3CDB" w:rsidRDefault="006C7CFB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their color journal, students will independently sort </w:t>
            </w:r>
            <w:r w:rsidR="0045314B">
              <w:rPr>
                <w:rFonts w:ascii="Comic Sans MS" w:hAnsi="Comic Sans MS"/>
              </w:rPr>
              <w:t xml:space="preserve">pictures of </w:t>
            </w:r>
            <w:r>
              <w:rPr>
                <w:rFonts w:ascii="Comic Sans MS" w:hAnsi="Comic Sans MS"/>
              </w:rPr>
              <w:t>objects and glue the pictures on the correct color page (sort and glue the fire truck and red crayon onto the red page).</w:t>
            </w:r>
          </w:p>
          <w:p w:rsidR="00422CFE" w:rsidRDefault="0045314B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for and encourage students to use the stem, “</w:t>
            </w:r>
            <w:r w:rsidR="00F90A71">
              <w:rPr>
                <w:rFonts w:ascii="Comic Sans MS" w:hAnsi="Comic Sans MS"/>
              </w:rPr>
              <w:t xml:space="preserve">I can sort </w:t>
            </w:r>
            <w:r w:rsidR="00F90A71" w:rsidRPr="00F90A71">
              <w:rPr>
                <w:rFonts w:ascii="Comic Sans MS" w:hAnsi="Comic Sans MS"/>
                <w:u w:val="single"/>
              </w:rPr>
              <w:t>_</w:t>
            </w:r>
            <w:proofErr w:type="gramStart"/>
            <w:r w:rsidR="00F90A71" w:rsidRPr="00F90A71">
              <w:rPr>
                <w:rFonts w:ascii="Comic Sans MS" w:hAnsi="Comic Sans MS"/>
                <w:u w:val="single"/>
              </w:rPr>
              <w:t>_(</w:t>
            </w:r>
            <w:proofErr w:type="gramEnd"/>
            <w:r w:rsidR="00F90A71" w:rsidRPr="00F90A71">
              <w:rPr>
                <w:rFonts w:ascii="Comic Sans MS" w:hAnsi="Comic Sans MS"/>
                <w:u w:val="single"/>
              </w:rPr>
              <w:t>red)__</w:t>
            </w:r>
            <w:r w:rsidR="00F90A71">
              <w:rPr>
                <w:rFonts w:ascii="Comic Sans MS" w:hAnsi="Comic Sans MS"/>
              </w:rPr>
              <w:t xml:space="preserve"> things.”</w:t>
            </w:r>
          </w:p>
          <w:p w:rsidR="00422CFE" w:rsidRDefault="00422CFE" w:rsidP="007F7A91">
            <w:pPr>
              <w:rPr>
                <w:rFonts w:ascii="Comic Sans MS" w:hAnsi="Comic Sans MS"/>
              </w:rPr>
            </w:pPr>
          </w:p>
          <w:p w:rsidR="00422CFE" w:rsidRPr="00EC3CDB" w:rsidRDefault="00422CFE" w:rsidP="007F7A91">
            <w:pPr>
              <w:rPr>
                <w:rFonts w:ascii="Comic Sans MS" w:hAnsi="Comic Sans MS"/>
              </w:rPr>
            </w:pPr>
          </w:p>
        </w:tc>
      </w:tr>
      <w:tr w:rsidR="009E7188" w:rsidTr="009676BE">
        <w:trPr>
          <w:trHeight w:val="1179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422CFE" w:rsidRPr="00422CFE" w:rsidRDefault="00422CFE" w:rsidP="00422CFE">
            <w:pPr>
              <w:rPr>
                <w:b/>
                <w:szCs w:val="24"/>
              </w:rPr>
            </w:pPr>
          </w:p>
        </w:tc>
        <w:tc>
          <w:tcPr>
            <w:tcW w:w="3187" w:type="dxa"/>
            <w:gridSpan w:val="2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EC3CDB">
              <w:rPr>
                <w:sz w:val="16"/>
                <w:szCs w:val="16"/>
                <w:highlight w:val="yellow"/>
              </w:rPr>
              <w:t>(4) Reinforcing effort and Providing Recognition</w:t>
            </w:r>
          </w:p>
        </w:tc>
        <w:tc>
          <w:tcPr>
            <w:tcW w:w="6288" w:type="dxa"/>
          </w:tcPr>
          <w:p w:rsidR="009E7188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 and record understanding after the goal</w:t>
            </w:r>
            <w:r w:rsidR="006C7CFB">
              <w:rPr>
                <w:rFonts w:ascii="Comic Sans MS" w:hAnsi="Comic Sans MS"/>
              </w:rPr>
              <w:t xml:space="preserve"> </w:t>
            </w:r>
            <w:proofErr w:type="gramStart"/>
            <w:r w:rsidR="006C7CFB">
              <w:rPr>
                <w:rFonts w:ascii="Comic Sans MS" w:hAnsi="Comic Sans MS"/>
              </w:rPr>
              <w:t>with a thumbs</w:t>
            </w:r>
            <w:proofErr w:type="gramEnd"/>
            <w:r w:rsidR="006C7CFB">
              <w:rPr>
                <w:rFonts w:ascii="Comic Sans MS" w:hAnsi="Comic Sans MS"/>
              </w:rPr>
              <w:t xml:space="preserve"> up, thumbs to the side, or thumbs down</w:t>
            </w:r>
            <w:r>
              <w:rPr>
                <w:rFonts w:ascii="Comic Sans MS" w:hAnsi="Comic Sans MS"/>
              </w:rPr>
              <w:t>.</w:t>
            </w:r>
          </w:p>
          <w:p w:rsidR="0099674B" w:rsidRDefault="0099674B" w:rsidP="009676BE">
            <w:pPr>
              <w:rPr>
                <w:rFonts w:ascii="Comic Sans MS" w:hAnsi="Comic Sans MS"/>
              </w:rPr>
            </w:pPr>
          </w:p>
          <w:p w:rsidR="0099674B" w:rsidRPr="0099674B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Self-score the amount of effort put into the lesson.</w:t>
            </w: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EA" w:rsidRDefault="00EF31EA" w:rsidP="009676BE">
      <w:r>
        <w:separator/>
      </w:r>
    </w:p>
  </w:endnote>
  <w:endnote w:type="continuationSeparator" w:id="0">
    <w:p w:rsidR="00EF31EA" w:rsidRDefault="00EF31EA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EA" w:rsidRDefault="00EF31EA" w:rsidP="009676BE">
      <w:r>
        <w:separator/>
      </w:r>
    </w:p>
  </w:footnote>
  <w:footnote w:type="continuationSeparator" w:id="0">
    <w:p w:rsidR="00EF31EA" w:rsidRDefault="00EF31EA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4B" w:rsidRDefault="0045314B">
    <w:pPr>
      <w:pStyle w:val="Header"/>
    </w:pPr>
    <w:r>
      <w:t>Kindergarten Unit 1</w:t>
    </w:r>
    <w:r>
      <w:ptab w:relativeTo="margin" w:alignment="center" w:leader="none"/>
    </w:r>
    <w:r>
      <w:t>Red Is A Dragon</w:t>
    </w:r>
    <w:r>
      <w:tab/>
      <w:t>Vocabulary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4F63"/>
    <w:multiLevelType w:val="hybridMultilevel"/>
    <w:tmpl w:val="5628D594"/>
    <w:lvl w:ilvl="0" w:tplc="DFE4C14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E2CA7"/>
    <w:rsid w:val="000E5A17"/>
    <w:rsid w:val="00130E73"/>
    <w:rsid w:val="0013564C"/>
    <w:rsid w:val="001D7E15"/>
    <w:rsid w:val="001F0EDA"/>
    <w:rsid w:val="00237843"/>
    <w:rsid w:val="00265A65"/>
    <w:rsid w:val="002B3A2A"/>
    <w:rsid w:val="002C119B"/>
    <w:rsid w:val="002E6285"/>
    <w:rsid w:val="002F4C72"/>
    <w:rsid w:val="003121BA"/>
    <w:rsid w:val="0033120B"/>
    <w:rsid w:val="0034699F"/>
    <w:rsid w:val="00370784"/>
    <w:rsid w:val="00390CCF"/>
    <w:rsid w:val="003A2A33"/>
    <w:rsid w:val="003C11E4"/>
    <w:rsid w:val="003D765D"/>
    <w:rsid w:val="003E4301"/>
    <w:rsid w:val="00410ADA"/>
    <w:rsid w:val="00417539"/>
    <w:rsid w:val="00422CFE"/>
    <w:rsid w:val="00422E68"/>
    <w:rsid w:val="00440188"/>
    <w:rsid w:val="0045314B"/>
    <w:rsid w:val="00460BF2"/>
    <w:rsid w:val="00485316"/>
    <w:rsid w:val="004E7A42"/>
    <w:rsid w:val="004F6A74"/>
    <w:rsid w:val="00520774"/>
    <w:rsid w:val="005344BA"/>
    <w:rsid w:val="005B14D2"/>
    <w:rsid w:val="006105AD"/>
    <w:rsid w:val="00652A49"/>
    <w:rsid w:val="006C2057"/>
    <w:rsid w:val="006C405E"/>
    <w:rsid w:val="006C7239"/>
    <w:rsid w:val="006C7CFB"/>
    <w:rsid w:val="006E7197"/>
    <w:rsid w:val="007031EF"/>
    <w:rsid w:val="00736871"/>
    <w:rsid w:val="00752F10"/>
    <w:rsid w:val="00753865"/>
    <w:rsid w:val="0078654F"/>
    <w:rsid w:val="007B5CB5"/>
    <w:rsid w:val="007C1094"/>
    <w:rsid w:val="007E5C14"/>
    <w:rsid w:val="007F7A91"/>
    <w:rsid w:val="008656F5"/>
    <w:rsid w:val="008662EF"/>
    <w:rsid w:val="00880904"/>
    <w:rsid w:val="0088617F"/>
    <w:rsid w:val="00891E81"/>
    <w:rsid w:val="008A16BB"/>
    <w:rsid w:val="008A7DF6"/>
    <w:rsid w:val="009229B7"/>
    <w:rsid w:val="009630FD"/>
    <w:rsid w:val="009676BE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F1E11"/>
    <w:rsid w:val="00B0493A"/>
    <w:rsid w:val="00B05155"/>
    <w:rsid w:val="00B261E0"/>
    <w:rsid w:val="00B873FF"/>
    <w:rsid w:val="00BA0895"/>
    <w:rsid w:val="00C555E2"/>
    <w:rsid w:val="00D03DEC"/>
    <w:rsid w:val="00D17A05"/>
    <w:rsid w:val="00D60D89"/>
    <w:rsid w:val="00DA09A6"/>
    <w:rsid w:val="00DF4CA7"/>
    <w:rsid w:val="00E22462"/>
    <w:rsid w:val="00E439DF"/>
    <w:rsid w:val="00E63BCD"/>
    <w:rsid w:val="00E67DDB"/>
    <w:rsid w:val="00EC3CDB"/>
    <w:rsid w:val="00EF2725"/>
    <w:rsid w:val="00EF31EA"/>
    <w:rsid w:val="00F23F46"/>
    <w:rsid w:val="00F348FB"/>
    <w:rsid w:val="00F557D7"/>
    <w:rsid w:val="00F82A0A"/>
    <w:rsid w:val="00F90A71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14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tRNy2i75t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cp:lastPrinted>2013-08-13T22:59:00Z</cp:lastPrinted>
  <dcterms:created xsi:type="dcterms:W3CDTF">2013-08-14T08:35:00Z</dcterms:created>
  <dcterms:modified xsi:type="dcterms:W3CDTF">2013-08-14T08:35:00Z</dcterms:modified>
</cp:coreProperties>
</file>