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6"/>
        <w:gridCol w:w="1936"/>
        <w:gridCol w:w="1936"/>
        <w:gridCol w:w="1936"/>
        <w:gridCol w:w="1936"/>
      </w:tblGrid>
      <w:tr w:rsidR="00F46F1B" w:rsidTr="00495C32">
        <w:trPr>
          <w:trHeight w:val="334"/>
        </w:trPr>
        <w:tc>
          <w:tcPr>
            <w:tcW w:w="968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AF467C" w:rsidRDefault="00F46F1B" w:rsidP="00AF467C">
            <w:pPr>
              <w:jc w:val="center"/>
              <w:rPr>
                <w:rFonts w:ascii="Kristen ITC" w:hAnsi="Kristen ITC"/>
                <w:b/>
                <w:color w:val="FFFFFF" w:themeColor="background1"/>
                <w:sz w:val="32"/>
              </w:rPr>
            </w:pPr>
            <w:r w:rsidRPr="00362848">
              <w:rPr>
                <w:rFonts w:ascii="Kristen ITC" w:hAnsi="Kristen ITC"/>
                <w:b/>
                <w:color w:val="FFFFFF" w:themeColor="background1"/>
                <w:sz w:val="32"/>
              </w:rPr>
              <w:t xml:space="preserve">Reading Standards: Foundational Skills  </w:t>
            </w:r>
          </w:p>
          <w:p w:rsidR="00F46F1B" w:rsidRPr="00362848" w:rsidRDefault="00AF467C" w:rsidP="00AF467C">
            <w:pPr>
              <w:jc w:val="center"/>
              <w:rPr>
                <w:rFonts w:ascii="Kristen ITC" w:hAnsi="Kristen ITC"/>
                <w:b/>
                <w:color w:val="FFFFFF" w:themeColor="background1"/>
              </w:rPr>
            </w:pPr>
            <w:r>
              <w:rPr>
                <w:rFonts w:ascii="Kristen ITC" w:hAnsi="Kristen ITC"/>
                <w:b/>
                <w:color w:val="FFFFFF" w:themeColor="background1"/>
                <w:sz w:val="32"/>
              </w:rPr>
              <w:t xml:space="preserve">Kindergarten </w:t>
            </w:r>
            <w:r w:rsidR="00F46F1B" w:rsidRPr="00362848">
              <w:rPr>
                <w:rFonts w:ascii="Kristen ITC" w:hAnsi="Kristen ITC"/>
                <w:b/>
                <w:color w:val="FFFFFF" w:themeColor="background1"/>
                <w:sz w:val="32"/>
              </w:rPr>
              <w:t>BENCHMARKS</w:t>
            </w:r>
          </w:p>
        </w:tc>
      </w:tr>
      <w:tr w:rsidR="00F46F1B" w:rsidTr="00AF467C">
        <w:trPr>
          <w:trHeight w:val="334"/>
        </w:trPr>
        <w:tc>
          <w:tcPr>
            <w:tcW w:w="9680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F46F1B" w:rsidRPr="0054643E" w:rsidRDefault="00F46F1B">
            <w:pPr>
              <w:rPr>
                <w:b/>
                <w:sz w:val="20"/>
              </w:rPr>
            </w:pPr>
            <w:r w:rsidRPr="0054643E">
              <w:rPr>
                <w:b/>
                <w:sz w:val="20"/>
              </w:rPr>
              <w:t>Print Concepts</w:t>
            </w:r>
          </w:p>
          <w:p w:rsidR="00F46F1B" w:rsidRDefault="00F46F1B">
            <w:r w:rsidRPr="0054643E">
              <w:rPr>
                <w:b/>
                <w:sz w:val="20"/>
              </w:rPr>
              <w:t>RF.K.1.d</w:t>
            </w:r>
            <w:r w:rsidRPr="0054643E">
              <w:rPr>
                <w:sz w:val="20"/>
              </w:rPr>
              <w:t xml:space="preserve"> </w:t>
            </w:r>
            <w:r w:rsidRPr="0054643E">
              <w:rPr>
                <w:i/>
                <w:sz w:val="20"/>
              </w:rPr>
              <w:t>Recognize and name all upper- and lowercase letters of the alphabet</w:t>
            </w:r>
          </w:p>
        </w:tc>
      </w:tr>
      <w:tr w:rsidR="00F46F1B" w:rsidTr="00AF467C">
        <w:trPr>
          <w:trHeight w:val="206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46F1B" w:rsidRPr="00CB5BE7" w:rsidRDefault="00F46F1B" w:rsidP="00F46F1B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Assessment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46F1B" w:rsidRPr="00CB5BE7" w:rsidRDefault="00F46F1B" w:rsidP="00F46F1B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1</w:t>
            </w:r>
            <w:r w:rsidRPr="00CB5BE7">
              <w:rPr>
                <w:b/>
                <w:sz w:val="20"/>
                <w:vertAlign w:val="superscript"/>
              </w:rPr>
              <w:t>st</w:t>
            </w:r>
            <w:r w:rsidRPr="00CB5BE7">
              <w:rPr>
                <w:b/>
                <w:sz w:val="20"/>
              </w:rPr>
              <w:t xml:space="preserve"> Q</w:t>
            </w:r>
            <w:r w:rsidR="00362848" w:rsidRPr="00CB5BE7">
              <w:rPr>
                <w:b/>
                <w:sz w:val="20"/>
              </w:rPr>
              <w:t>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46F1B" w:rsidRPr="00CB5BE7" w:rsidRDefault="00F46F1B" w:rsidP="00F46F1B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2</w:t>
            </w:r>
            <w:r w:rsidRPr="00CB5BE7">
              <w:rPr>
                <w:b/>
                <w:sz w:val="20"/>
                <w:vertAlign w:val="superscript"/>
              </w:rPr>
              <w:t>nd</w:t>
            </w:r>
            <w:r w:rsidRPr="00CB5BE7">
              <w:rPr>
                <w:b/>
                <w:sz w:val="20"/>
              </w:rPr>
              <w:t xml:space="preserve"> Q</w:t>
            </w:r>
            <w:r w:rsidR="00362848" w:rsidRPr="00CB5BE7">
              <w:rPr>
                <w:b/>
                <w:sz w:val="20"/>
              </w:rPr>
              <w:t>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46F1B" w:rsidRPr="00CB5BE7" w:rsidRDefault="00F46F1B" w:rsidP="00F46F1B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3</w:t>
            </w:r>
            <w:r w:rsidRPr="00CB5BE7">
              <w:rPr>
                <w:b/>
                <w:sz w:val="20"/>
                <w:vertAlign w:val="superscript"/>
              </w:rPr>
              <w:t>rd</w:t>
            </w:r>
            <w:r w:rsidRPr="00CB5BE7">
              <w:rPr>
                <w:b/>
                <w:sz w:val="20"/>
              </w:rPr>
              <w:t xml:space="preserve"> Q</w:t>
            </w:r>
            <w:r w:rsidR="00362848" w:rsidRPr="00CB5BE7">
              <w:rPr>
                <w:b/>
                <w:sz w:val="20"/>
              </w:rPr>
              <w:t>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F46F1B" w:rsidRPr="00CB5BE7" w:rsidRDefault="00F46F1B" w:rsidP="00F46F1B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4</w:t>
            </w:r>
            <w:r w:rsidRPr="00CB5BE7">
              <w:rPr>
                <w:b/>
                <w:sz w:val="20"/>
                <w:vertAlign w:val="superscript"/>
              </w:rPr>
              <w:t>th</w:t>
            </w:r>
            <w:r w:rsidRPr="00CB5BE7">
              <w:rPr>
                <w:b/>
                <w:sz w:val="20"/>
              </w:rPr>
              <w:t xml:space="preserve"> Q</w:t>
            </w:r>
            <w:r w:rsidR="00362848" w:rsidRPr="00CB5BE7">
              <w:rPr>
                <w:b/>
                <w:sz w:val="20"/>
              </w:rPr>
              <w:t>uarter</w:t>
            </w:r>
          </w:p>
        </w:tc>
      </w:tr>
      <w:tr w:rsidR="00F46F1B" w:rsidTr="00AF467C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F46F1B" w:rsidRDefault="00F46F1B">
            <w:pPr>
              <w:rPr>
                <w:b/>
              </w:rPr>
            </w:pPr>
            <w:r>
              <w:rPr>
                <w:b/>
              </w:rPr>
              <w:t>Letter ID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</w:tcPr>
          <w:p w:rsidR="00F46F1B" w:rsidRPr="00F46F1B" w:rsidRDefault="00F46F1B" w:rsidP="00F46F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27+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</w:tcPr>
          <w:p w:rsidR="00F46F1B" w:rsidRPr="00F46F1B" w:rsidRDefault="00F46F1B" w:rsidP="00F46F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50+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</w:tcPr>
          <w:p w:rsidR="00F46F1B" w:rsidRPr="00F46F1B" w:rsidRDefault="00F46F1B" w:rsidP="00F46F1B">
            <w:pPr>
              <w:jc w:val="center"/>
              <w:rPr>
                <w:b/>
                <w:sz w:val="28"/>
              </w:rPr>
            </w:pP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46F1B" w:rsidRPr="00F46F1B" w:rsidRDefault="00F46F1B" w:rsidP="00F46F1B">
            <w:pPr>
              <w:jc w:val="center"/>
              <w:rPr>
                <w:b/>
                <w:sz w:val="28"/>
              </w:rPr>
            </w:pPr>
          </w:p>
        </w:tc>
      </w:tr>
      <w:tr w:rsidR="00362848" w:rsidTr="00AF467C">
        <w:trPr>
          <w:trHeight w:val="334"/>
        </w:trPr>
        <w:tc>
          <w:tcPr>
            <w:tcW w:w="9680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362848" w:rsidRPr="0054643E" w:rsidRDefault="00362848" w:rsidP="00362848">
            <w:pPr>
              <w:rPr>
                <w:b/>
                <w:sz w:val="20"/>
              </w:rPr>
            </w:pPr>
            <w:r w:rsidRPr="0054643E">
              <w:rPr>
                <w:b/>
                <w:sz w:val="20"/>
              </w:rPr>
              <w:t>Phonological Awareness</w:t>
            </w:r>
          </w:p>
          <w:p w:rsidR="00362848" w:rsidRPr="00F46F1B" w:rsidRDefault="00362848" w:rsidP="00362848">
            <w:pPr>
              <w:rPr>
                <w:b/>
                <w:sz w:val="28"/>
              </w:rPr>
            </w:pPr>
            <w:r w:rsidRPr="0054643E">
              <w:rPr>
                <w:b/>
                <w:sz w:val="20"/>
              </w:rPr>
              <w:t>RF.K.2.d</w:t>
            </w:r>
            <w:r w:rsidRPr="0054643E">
              <w:rPr>
                <w:sz w:val="20"/>
              </w:rPr>
              <w:t xml:space="preserve"> </w:t>
            </w:r>
            <w:r w:rsidRPr="0054643E">
              <w:rPr>
                <w:i/>
                <w:sz w:val="20"/>
              </w:rPr>
              <w:t>Isolate and pronounce the initial, medial vowel, and final sounds (phonemes) in three-phoneme (consonant-vowel-consonant, or CVC)</w:t>
            </w:r>
            <w:r w:rsidR="0054643E" w:rsidRPr="0054643E">
              <w:rPr>
                <w:i/>
                <w:sz w:val="20"/>
              </w:rPr>
              <w:t xml:space="preserve"> </w:t>
            </w:r>
            <w:r w:rsidRPr="0054643E">
              <w:rPr>
                <w:i/>
                <w:sz w:val="20"/>
              </w:rPr>
              <w:t>words. *(This does not include CVCs ending with /l/, /r/, or /x/.)</w:t>
            </w:r>
          </w:p>
        </w:tc>
      </w:tr>
      <w:tr w:rsidR="00362848" w:rsidTr="00AF467C">
        <w:trPr>
          <w:trHeight w:val="215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62848" w:rsidRPr="00CB5BE7" w:rsidRDefault="00362848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Assessment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62848" w:rsidRPr="00CB5BE7" w:rsidRDefault="00362848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1</w:t>
            </w:r>
            <w:r w:rsidRPr="00CB5BE7">
              <w:rPr>
                <w:b/>
                <w:sz w:val="20"/>
                <w:vertAlign w:val="superscript"/>
              </w:rPr>
              <w:t>st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62848" w:rsidRPr="00CB5BE7" w:rsidRDefault="00362848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2</w:t>
            </w:r>
            <w:r w:rsidRPr="00CB5BE7">
              <w:rPr>
                <w:b/>
                <w:sz w:val="20"/>
                <w:vertAlign w:val="superscript"/>
              </w:rPr>
              <w:t>nd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62848" w:rsidRPr="00CB5BE7" w:rsidRDefault="00362848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3</w:t>
            </w:r>
            <w:r w:rsidRPr="00CB5BE7">
              <w:rPr>
                <w:b/>
                <w:sz w:val="20"/>
                <w:vertAlign w:val="superscript"/>
              </w:rPr>
              <w:t>rd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62848" w:rsidRPr="00CB5BE7" w:rsidRDefault="00362848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4</w:t>
            </w:r>
            <w:r w:rsidRPr="00CB5BE7">
              <w:rPr>
                <w:b/>
                <w:sz w:val="20"/>
                <w:vertAlign w:val="superscript"/>
              </w:rPr>
              <w:t>th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</w:tr>
      <w:tr w:rsidR="00362848" w:rsidTr="00F9202A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362848" w:rsidRDefault="00362848" w:rsidP="00362848">
            <w:pPr>
              <w:rPr>
                <w:b/>
              </w:rPr>
            </w:pPr>
            <w:r>
              <w:rPr>
                <w:b/>
              </w:rPr>
              <w:t>DIBELS PSF</w:t>
            </w:r>
          </w:p>
          <w:p w:rsidR="00362848" w:rsidRDefault="00362848" w:rsidP="00CB5BE7">
            <w:pPr>
              <w:rPr>
                <w:b/>
              </w:rPr>
            </w:pPr>
            <w:r w:rsidRPr="00F46F1B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Phoneme Segmentation</w:t>
            </w:r>
            <w:r w:rsidRPr="00F46F1B">
              <w:rPr>
                <w:sz w:val="16"/>
                <w:szCs w:val="20"/>
              </w:rPr>
              <w:t xml:space="preserve"> Fluency)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362848" w:rsidRDefault="00362848" w:rsidP="00CB5BE7">
            <w:pPr>
              <w:jc w:val="center"/>
              <w:rPr>
                <w:b/>
                <w:sz w:val="28"/>
              </w:rPr>
            </w:pPr>
          </w:p>
        </w:tc>
        <w:tc>
          <w:tcPr>
            <w:tcW w:w="3872" w:type="dxa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1513E6" w:rsidRDefault="00961880" w:rsidP="00CB5B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20</w:t>
            </w:r>
            <w:r w:rsidR="00362848">
              <w:rPr>
                <w:b/>
                <w:sz w:val="28"/>
              </w:rPr>
              <w:t>+</w:t>
            </w:r>
            <w:r w:rsidR="001513E6">
              <w:rPr>
                <w:sz w:val="20"/>
                <w:szCs w:val="20"/>
              </w:rPr>
              <w:t xml:space="preserve"> </w:t>
            </w:r>
          </w:p>
          <w:p w:rsidR="00362848" w:rsidRPr="00F46F1B" w:rsidRDefault="001513E6" w:rsidP="00CB5BE7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Middle</w:t>
            </w:r>
            <w:r w:rsidRPr="00495C32">
              <w:rPr>
                <w:sz w:val="20"/>
                <w:szCs w:val="20"/>
              </w:rPr>
              <w:t xml:space="preserve"> of Year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643E" w:rsidRDefault="00961880" w:rsidP="005464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>40</w:t>
            </w:r>
            <w:r w:rsidR="0054643E">
              <w:rPr>
                <w:b/>
                <w:sz w:val="28"/>
              </w:rPr>
              <w:t>+</w:t>
            </w:r>
            <w:r w:rsidR="0054643E">
              <w:rPr>
                <w:sz w:val="20"/>
                <w:szCs w:val="20"/>
              </w:rPr>
              <w:t xml:space="preserve"> </w:t>
            </w:r>
          </w:p>
          <w:p w:rsidR="00362848" w:rsidRPr="00F46F1B" w:rsidRDefault="0054643E" w:rsidP="0054643E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End</w:t>
            </w:r>
            <w:r w:rsidRPr="00495C32">
              <w:rPr>
                <w:sz w:val="20"/>
                <w:szCs w:val="20"/>
              </w:rPr>
              <w:t xml:space="preserve"> of Year</w:t>
            </w:r>
          </w:p>
        </w:tc>
      </w:tr>
      <w:tr w:rsidR="00362848" w:rsidTr="00F9202A">
        <w:trPr>
          <w:trHeight w:val="334"/>
        </w:trPr>
        <w:tc>
          <w:tcPr>
            <w:tcW w:w="9680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DBDB" w:themeFill="accent2" w:themeFillTint="33"/>
          </w:tcPr>
          <w:p w:rsidR="00362848" w:rsidRPr="0054643E" w:rsidRDefault="00362848" w:rsidP="00362848">
            <w:pPr>
              <w:rPr>
                <w:b/>
                <w:sz w:val="20"/>
              </w:rPr>
            </w:pPr>
            <w:r w:rsidRPr="0054643E">
              <w:rPr>
                <w:b/>
                <w:sz w:val="20"/>
              </w:rPr>
              <w:t>Phonics and Word Recognition</w:t>
            </w:r>
          </w:p>
          <w:p w:rsidR="00362848" w:rsidRPr="0054643E" w:rsidRDefault="00362848" w:rsidP="00362848">
            <w:pPr>
              <w:rPr>
                <w:i/>
                <w:sz w:val="20"/>
              </w:rPr>
            </w:pPr>
            <w:r w:rsidRPr="0054643E">
              <w:rPr>
                <w:b/>
                <w:sz w:val="20"/>
              </w:rPr>
              <w:t>RF.K.3.a</w:t>
            </w:r>
            <w:r w:rsidRPr="0054643E">
              <w:rPr>
                <w:sz w:val="20"/>
              </w:rPr>
              <w:t xml:space="preserve"> </w:t>
            </w:r>
            <w:r w:rsidRPr="0054643E">
              <w:rPr>
                <w:i/>
                <w:sz w:val="20"/>
              </w:rPr>
              <w:t xml:space="preserve">Demonstrate basic </w:t>
            </w:r>
            <w:r w:rsidR="00CB5BE7" w:rsidRPr="0054643E">
              <w:rPr>
                <w:i/>
                <w:sz w:val="20"/>
              </w:rPr>
              <w:t>knowledge of</w:t>
            </w:r>
            <w:r w:rsidRPr="0054643E">
              <w:rPr>
                <w:i/>
                <w:sz w:val="20"/>
              </w:rPr>
              <w:t xml:space="preserve"> one-to –one letter-sound correspondences by producing the </w:t>
            </w:r>
            <w:r w:rsidR="0054643E" w:rsidRPr="0054643E">
              <w:rPr>
                <w:i/>
                <w:sz w:val="20"/>
              </w:rPr>
              <w:t>most frequently</w:t>
            </w:r>
            <w:r w:rsidRPr="0054643E">
              <w:rPr>
                <w:i/>
                <w:sz w:val="20"/>
              </w:rPr>
              <w:t xml:space="preserve"> </w:t>
            </w:r>
            <w:r w:rsidR="0054643E" w:rsidRPr="0054643E">
              <w:rPr>
                <w:i/>
                <w:sz w:val="20"/>
              </w:rPr>
              <w:t>used</w:t>
            </w:r>
            <w:r w:rsidRPr="0054643E">
              <w:rPr>
                <w:i/>
                <w:sz w:val="20"/>
              </w:rPr>
              <w:t xml:space="preserve"> sound for each consonant.</w:t>
            </w:r>
          </w:p>
          <w:p w:rsidR="0054643E" w:rsidRPr="0054643E" w:rsidRDefault="0054643E" w:rsidP="00362848">
            <w:pPr>
              <w:rPr>
                <w:i/>
                <w:sz w:val="20"/>
              </w:rPr>
            </w:pPr>
            <w:r w:rsidRPr="0054643E">
              <w:rPr>
                <w:b/>
                <w:sz w:val="20"/>
              </w:rPr>
              <w:t xml:space="preserve">RF.3.b </w:t>
            </w:r>
            <w:r w:rsidRPr="0054643E">
              <w:rPr>
                <w:i/>
                <w:sz w:val="20"/>
              </w:rPr>
              <w:t>Associate the long and short sounds with the five major vowel graphemes (</w:t>
            </w:r>
            <w:proofErr w:type="spellStart"/>
            <w:r w:rsidRPr="0054643E">
              <w:rPr>
                <w:i/>
                <w:sz w:val="20"/>
              </w:rPr>
              <w:t>a</w:t>
            </w:r>
            <w:proofErr w:type="gramStart"/>
            <w:r w:rsidRPr="0054643E">
              <w:rPr>
                <w:i/>
                <w:sz w:val="20"/>
              </w:rPr>
              <w:t>,e,i,o,u</w:t>
            </w:r>
            <w:proofErr w:type="spellEnd"/>
            <w:proofErr w:type="gramEnd"/>
            <w:r w:rsidRPr="0054643E">
              <w:rPr>
                <w:i/>
                <w:sz w:val="20"/>
              </w:rPr>
              <w:t>), using open and closed syllable types (e.g., open-go, closed- got).</w:t>
            </w:r>
          </w:p>
          <w:p w:rsidR="00CB5BE7" w:rsidRPr="0054643E" w:rsidRDefault="00CB5BE7" w:rsidP="00362848">
            <w:pPr>
              <w:rPr>
                <w:i/>
                <w:sz w:val="20"/>
              </w:rPr>
            </w:pPr>
            <w:r w:rsidRPr="0054643E">
              <w:rPr>
                <w:b/>
                <w:sz w:val="20"/>
              </w:rPr>
              <w:t xml:space="preserve">RF.K.3.c </w:t>
            </w:r>
            <w:r w:rsidRPr="0054643E">
              <w:rPr>
                <w:i/>
                <w:sz w:val="20"/>
              </w:rPr>
              <w:t>Read common high-frequency words by sight (e.g., the, of, to, you, she, my, is, are, do, does).</w:t>
            </w:r>
          </w:p>
          <w:p w:rsidR="0054643E" w:rsidRPr="0054643E" w:rsidRDefault="0054643E" w:rsidP="00362848">
            <w:pPr>
              <w:rPr>
                <w:i/>
                <w:sz w:val="20"/>
              </w:rPr>
            </w:pPr>
            <w:r w:rsidRPr="0054643E">
              <w:rPr>
                <w:b/>
                <w:sz w:val="20"/>
              </w:rPr>
              <w:t xml:space="preserve">RF.K.3.e </w:t>
            </w:r>
            <w:r w:rsidRPr="0054643E">
              <w:rPr>
                <w:i/>
                <w:sz w:val="20"/>
              </w:rPr>
              <w:t>Decode CVC words.</w:t>
            </w:r>
          </w:p>
          <w:p w:rsidR="0054643E" w:rsidRPr="0054643E" w:rsidRDefault="0054643E" w:rsidP="00362848">
            <w:pPr>
              <w:rPr>
                <w:i/>
                <w:sz w:val="28"/>
              </w:rPr>
            </w:pPr>
            <w:r w:rsidRPr="0054643E">
              <w:rPr>
                <w:b/>
                <w:sz w:val="20"/>
              </w:rPr>
              <w:t xml:space="preserve">RF.K.3.f </w:t>
            </w:r>
            <w:r w:rsidRPr="0054643E">
              <w:rPr>
                <w:i/>
                <w:sz w:val="20"/>
              </w:rPr>
              <w:t>Decode one-syllable words (open and closed).</w:t>
            </w:r>
          </w:p>
        </w:tc>
      </w:tr>
      <w:tr w:rsidR="00CB5BE7" w:rsidTr="00F9202A">
        <w:trPr>
          <w:trHeight w:val="251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B5BE7" w:rsidRPr="00CB5BE7" w:rsidRDefault="00CB5BE7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Assessment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B5BE7" w:rsidRPr="00CB5BE7" w:rsidRDefault="00CB5BE7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1</w:t>
            </w:r>
            <w:r w:rsidRPr="00CB5BE7">
              <w:rPr>
                <w:b/>
                <w:sz w:val="20"/>
                <w:vertAlign w:val="superscript"/>
              </w:rPr>
              <w:t>st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B5BE7" w:rsidRPr="00CB5BE7" w:rsidRDefault="00CB5BE7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2</w:t>
            </w:r>
            <w:r w:rsidRPr="00CB5BE7">
              <w:rPr>
                <w:b/>
                <w:sz w:val="20"/>
                <w:vertAlign w:val="superscript"/>
              </w:rPr>
              <w:t>nd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B5BE7" w:rsidRPr="00CB5BE7" w:rsidRDefault="00CB5BE7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3</w:t>
            </w:r>
            <w:r w:rsidRPr="00CB5BE7">
              <w:rPr>
                <w:b/>
                <w:sz w:val="20"/>
                <w:vertAlign w:val="superscript"/>
              </w:rPr>
              <w:t>rd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B5BE7" w:rsidRPr="00CB5BE7" w:rsidRDefault="00CB5BE7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4</w:t>
            </w:r>
            <w:r w:rsidRPr="00CB5BE7">
              <w:rPr>
                <w:b/>
                <w:sz w:val="20"/>
                <w:vertAlign w:val="superscript"/>
              </w:rPr>
              <w:t>th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</w:tr>
      <w:tr w:rsidR="00362848" w:rsidTr="0054643E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62848" w:rsidRDefault="00CB5BE7" w:rsidP="00CB5BE7">
            <w:pPr>
              <w:jc w:val="center"/>
              <w:rPr>
                <w:b/>
              </w:rPr>
            </w:pPr>
            <w:r>
              <w:rPr>
                <w:b/>
              </w:rPr>
              <w:t>Letter Sound ID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62848" w:rsidRDefault="00362848" w:rsidP="00CB5BE7">
            <w:pPr>
              <w:jc w:val="center"/>
              <w:rPr>
                <w:b/>
                <w:sz w:val="28"/>
              </w:rPr>
            </w:pP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2848" w:rsidRPr="00F46F1B" w:rsidRDefault="009A4E60" w:rsidP="00CB5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CB5BE7">
              <w:rPr>
                <w:b/>
                <w:sz w:val="28"/>
              </w:rPr>
              <w:t>+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5BE7" w:rsidRPr="008E08BE" w:rsidRDefault="009A4E60" w:rsidP="008E0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CB5BE7">
              <w:rPr>
                <w:b/>
                <w:sz w:val="28"/>
              </w:rPr>
              <w:t>+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62848" w:rsidRDefault="00CB5BE7" w:rsidP="00CB5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  <w:p w:rsidR="00CB5BE7" w:rsidRPr="00F46F1B" w:rsidRDefault="00CB5BE7" w:rsidP="00CB5BE7">
            <w:pPr>
              <w:jc w:val="center"/>
              <w:rPr>
                <w:b/>
                <w:sz w:val="28"/>
              </w:rPr>
            </w:pPr>
            <w:r w:rsidRPr="00CB5BE7">
              <w:rPr>
                <w:sz w:val="20"/>
                <w:szCs w:val="20"/>
              </w:rPr>
              <w:t xml:space="preserve">(includes short </w:t>
            </w:r>
            <w:r>
              <w:rPr>
                <w:sz w:val="20"/>
                <w:szCs w:val="20"/>
              </w:rPr>
              <w:t xml:space="preserve">and long </w:t>
            </w:r>
            <w:r w:rsidRPr="00CB5BE7">
              <w:rPr>
                <w:sz w:val="20"/>
                <w:szCs w:val="20"/>
              </w:rPr>
              <w:t>vowel sounds)</w:t>
            </w:r>
          </w:p>
        </w:tc>
        <w:bookmarkStart w:id="0" w:name="_GoBack"/>
        <w:bookmarkEnd w:id="0"/>
      </w:tr>
      <w:tr w:rsidR="00CB5BE7" w:rsidTr="0054643E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CB5BE7" w:rsidRDefault="00CB5BE7" w:rsidP="00CB5BE7">
            <w:pPr>
              <w:jc w:val="center"/>
              <w:rPr>
                <w:b/>
              </w:rPr>
            </w:pPr>
            <w:r>
              <w:rPr>
                <w:b/>
              </w:rPr>
              <w:t>DIBELS NWF CLS</w:t>
            </w:r>
          </w:p>
          <w:p w:rsidR="00CB5BE7" w:rsidRDefault="00CB5BE7" w:rsidP="00CB5BE7">
            <w:pPr>
              <w:jc w:val="center"/>
              <w:rPr>
                <w:b/>
              </w:rPr>
            </w:pPr>
            <w:r w:rsidRPr="00F46F1B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Nonsense Word Fluency- Correct Letter Sounds</w:t>
            </w:r>
            <w:r w:rsidRPr="00F46F1B">
              <w:rPr>
                <w:sz w:val="16"/>
                <w:szCs w:val="20"/>
              </w:rPr>
              <w:t>)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5BE7" w:rsidRDefault="00CB5BE7" w:rsidP="00CB5BE7">
            <w:pPr>
              <w:jc w:val="center"/>
              <w:rPr>
                <w:b/>
                <w:sz w:val="28"/>
              </w:rPr>
            </w:pPr>
          </w:p>
        </w:tc>
        <w:tc>
          <w:tcPr>
            <w:tcW w:w="38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5BE7" w:rsidRDefault="00961880" w:rsidP="00CB5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CB5BE7">
              <w:rPr>
                <w:b/>
                <w:sz w:val="28"/>
              </w:rPr>
              <w:t>+</w:t>
            </w:r>
          </w:p>
          <w:p w:rsidR="001513E6" w:rsidRPr="00F46F1B" w:rsidRDefault="001513E6" w:rsidP="00CB5BE7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Middle</w:t>
            </w:r>
            <w:r w:rsidRPr="00495C32">
              <w:rPr>
                <w:sz w:val="20"/>
                <w:szCs w:val="20"/>
              </w:rPr>
              <w:t xml:space="preserve"> of Year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CB5BE7" w:rsidRDefault="00961880" w:rsidP="00CB5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CB5BE7">
              <w:rPr>
                <w:b/>
                <w:sz w:val="28"/>
              </w:rPr>
              <w:t>+</w:t>
            </w:r>
          </w:p>
          <w:p w:rsidR="001513E6" w:rsidRPr="00F46F1B" w:rsidRDefault="001513E6" w:rsidP="00CB5BE7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End</w:t>
            </w:r>
            <w:r w:rsidRPr="00495C32">
              <w:rPr>
                <w:sz w:val="20"/>
                <w:szCs w:val="20"/>
              </w:rPr>
              <w:t xml:space="preserve"> of Year</w:t>
            </w:r>
          </w:p>
        </w:tc>
      </w:tr>
      <w:tr w:rsidR="009A4E60" w:rsidTr="009A4E60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9A4E60" w:rsidRDefault="00D828D0" w:rsidP="00CB5BE7">
            <w:pPr>
              <w:jc w:val="center"/>
              <w:rPr>
                <w:b/>
              </w:rPr>
            </w:pPr>
            <w:r>
              <w:rPr>
                <w:b/>
              </w:rPr>
              <w:t xml:space="preserve">High Frequency Words with automaticity 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A4E60" w:rsidRDefault="009A4E60" w:rsidP="00CB5BE7">
            <w:pPr>
              <w:jc w:val="center"/>
              <w:rPr>
                <w:b/>
                <w:sz w:val="28"/>
              </w:rPr>
            </w:pP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A4E60" w:rsidRDefault="009A4E60" w:rsidP="00CF2526">
            <w:pPr>
              <w:jc w:val="center"/>
              <w:rPr>
                <w:b/>
                <w:sz w:val="28"/>
              </w:rPr>
            </w:pP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E60" w:rsidRPr="00F46F1B" w:rsidRDefault="009A4E60" w:rsidP="008E08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10+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A4E60" w:rsidRPr="00F46F1B" w:rsidRDefault="009A4E60" w:rsidP="00CB5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25+</w:t>
            </w:r>
          </w:p>
        </w:tc>
      </w:tr>
      <w:tr w:rsidR="009A4E60" w:rsidTr="00F9202A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A4E60" w:rsidRDefault="009A4E60" w:rsidP="00CB5BE7">
            <w:pPr>
              <w:jc w:val="center"/>
              <w:rPr>
                <w:b/>
              </w:rPr>
            </w:pPr>
            <w:r>
              <w:rPr>
                <w:b/>
              </w:rPr>
              <w:t>PSI</w:t>
            </w:r>
          </w:p>
          <w:p w:rsidR="009A4E60" w:rsidRPr="00F9202A" w:rsidRDefault="009A4E60" w:rsidP="00CB5B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(Primary Spelling Inventory)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A4E60" w:rsidRPr="0054643E" w:rsidRDefault="009A4E60" w:rsidP="00CB5BE7">
            <w:pPr>
              <w:jc w:val="center"/>
              <w:rPr>
                <w:b/>
                <w:sz w:val="24"/>
              </w:rPr>
            </w:pPr>
            <w:r w:rsidRPr="0054643E">
              <w:rPr>
                <w:b/>
                <w:sz w:val="24"/>
              </w:rPr>
              <w:t>Emergent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A4E60" w:rsidRPr="0054643E" w:rsidRDefault="009A4E60" w:rsidP="00CB5BE7">
            <w:pPr>
              <w:jc w:val="center"/>
              <w:rPr>
                <w:b/>
                <w:sz w:val="24"/>
              </w:rPr>
            </w:pPr>
            <w:r w:rsidRPr="0054643E">
              <w:rPr>
                <w:b/>
                <w:sz w:val="24"/>
              </w:rPr>
              <w:t>Emergent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A4E60" w:rsidRPr="0054643E" w:rsidRDefault="009A4E60" w:rsidP="00CB5BE7">
            <w:pPr>
              <w:jc w:val="center"/>
              <w:rPr>
                <w:b/>
                <w:sz w:val="24"/>
              </w:rPr>
            </w:pPr>
            <w:r w:rsidRPr="0054643E">
              <w:rPr>
                <w:b/>
                <w:sz w:val="24"/>
              </w:rPr>
              <w:t>Early Letter Name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4E60" w:rsidRPr="0054643E" w:rsidRDefault="009A4E60" w:rsidP="00CB5BE7">
            <w:pPr>
              <w:jc w:val="center"/>
              <w:rPr>
                <w:b/>
                <w:sz w:val="24"/>
              </w:rPr>
            </w:pPr>
            <w:r w:rsidRPr="0054643E">
              <w:rPr>
                <w:b/>
                <w:sz w:val="24"/>
              </w:rPr>
              <w:t>Middle Letter Name Alphabetic</w:t>
            </w:r>
          </w:p>
        </w:tc>
      </w:tr>
      <w:tr w:rsidR="009A4E60" w:rsidTr="00F9202A">
        <w:trPr>
          <w:trHeight w:val="588"/>
        </w:trPr>
        <w:tc>
          <w:tcPr>
            <w:tcW w:w="9680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2DBDB" w:themeFill="accent2" w:themeFillTint="33"/>
            <w:vAlign w:val="center"/>
          </w:tcPr>
          <w:p w:rsidR="009A4E60" w:rsidRPr="0054643E" w:rsidRDefault="009A4E60" w:rsidP="00AF467C">
            <w:pPr>
              <w:rPr>
                <w:b/>
                <w:sz w:val="20"/>
              </w:rPr>
            </w:pPr>
            <w:r w:rsidRPr="0054643E">
              <w:rPr>
                <w:b/>
                <w:sz w:val="20"/>
              </w:rPr>
              <w:t>Fluency</w:t>
            </w:r>
          </w:p>
          <w:p w:rsidR="009A4E60" w:rsidRPr="00AF467C" w:rsidRDefault="009A4E60" w:rsidP="00AF467C">
            <w:pPr>
              <w:rPr>
                <w:i/>
                <w:sz w:val="28"/>
              </w:rPr>
            </w:pPr>
            <w:r w:rsidRPr="0054643E">
              <w:rPr>
                <w:b/>
                <w:sz w:val="20"/>
              </w:rPr>
              <w:t xml:space="preserve">RF.K.4 </w:t>
            </w:r>
            <w:r w:rsidRPr="0054643E">
              <w:rPr>
                <w:i/>
                <w:sz w:val="20"/>
              </w:rPr>
              <w:t>Read emergent-reader texts with purpose and understanding</w:t>
            </w:r>
            <w:r>
              <w:rPr>
                <w:i/>
                <w:sz w:val="20"/>
              </w:rPr>
              <w:t>.</w:t>
            </w:r>
          </w:p>
        </w:tc>
      </w:tr>
      <w:tr w:rsidR="009A4E60" w:rsidTr="00495C32">
        <w:trPr>
          <w:trHeight w:val="246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A4E60" w:rsidRPr="00CB5BE7" w:rsidRDefault="009A4E60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Assessment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A4E60" w:rsidRPr="00CB5BE7" w:rsidRDefault="009A4E60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1</w:t>
            </w:r>
            <w:r w:rsidRPr="00CB5BE7">
              <w:rPr>
                <w:b/>
                <w:sz w:val="20"/>
                <w:vertAlign w:val="superscript"/>
              </w:rPr>
              <w:t>st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A4E60" w:rsidRPr="00CB5BE7" w:rsidRDefault="009A4E60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2</w:t>
            </w:r>
            <w:r w:rsidRPr="00CB5BE7">
              <w:rPr>
                <w:b/>
                <w:sz w:val="20"/>
                <w:vertAlign w:val="superscript"/>
              </w:rPr>
              <w:t>nd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A4E60" w:rsidRPr="00CB5BE7" w:rsidRDefault="009A4E60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3</w:t>
            </w:r>
            <w:r w:rsidRPr="00CB5BE7">
              <w:rPr>
                <w:b/>
                <w:sz w:val="20"/>
                <w:vertAlign w:val="superscript"/>
              </w:rPr>
              <w:t>rd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A4E60" w:rsidRPr="00CB5BE7" w:rsidRDefault="009A4E60" w:rsidP="00F9202A">
            <w:pPr>
              <w:jc w:val="center"/>
              <w:rPr>
                <w:b/>
                <w:sz w:val="20"/>
              </w:rPr>
            </w:pPr>
            <w:r w:rsidRPr="00CB5BE7">
              <w:rPr>
                <w:b/>
                <w:sz w:val="20"/>
              </w:rPr>
              <w:t>4</w:t>
            </w:r>
            <w:r w:rsidRPr="00CB5BE7">
              <w:rPr>
                <w:b/>
                <w:sz w:val="20"/>
                <w:vertAlign w:val="superscript"/>
              </w:rPr>
              <w:t>th</w:t>
            </w:r>
            <w:r w:rsidRPr="00CB5BE7">
              <w:rPr>
                <w:b/>
                <w:sz w:val="20"/>
              </w:rPr>
              <w:t xml:space="preserve"> Quarter</w:t>
            </w:r>
          </w:p>
        </w:tc>
      </w:tr>
      <w:tr w:rsidR="009A4E60" w:rsidTr="003729F0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9A4E60" w:rsidRDefault="009A4E60" w:rsidP="00CB5BE7">
            <w:pPr>
              <w:jc w:val="center"/>
              <w:rPr>
                <w:b/>
              </w:rPr>
            </w:pPr>
            <w:r>
              <w:rPr>
                <w:b/>
              </w:rPr>
              <w:t>NWEA MAP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E60" w:rsidRDefault="009A4E60" w:rsidP="00CB5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141.0</w:t>
            </w:r>
          </w:p>
          <w:p w:rsidR="009A4E60" w:rsidRPr="00495C32" w:rsidRDefault="009A4E60" w:rsidP="00CB5BE7">
            <w:pPr>
              <w:jc w:val="center"/>
              <w:rPr>
                <w:sz w:val="20"/>
                <w:szCs w:val="20"/>
              </w:rPr>
            </w:pPr>
            <w:r w:rsidRPr="00495C32">
              <w:rPr>
                <w:sz w:val="20"/>
                <w:szCs w:val="20"/>
              </w:rPr>
              <w:t>Beginning of Year Mean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151.3</w:t>
            </w:r>
          </w:p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Middle</w:t>
            </w:r>
            <w:r w:rsidRPr="00495C32">
              <w:rPr>
                <w:sz w:val="20"/>
                <w:szCs w:val="20"/>
              </w:rPr>
              <w:t xml:space="preserve"> of Year Mean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158.1</w:t>
            </w:r>
          </w:p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sz w:val="20"/>
                <w:szCs w:val="20"/>
              </w:rPr>
              <w:t>End</w:t>
            </w:r>
            <w:r w:rsidRPr="00495C32">
              <w:rPr>
                <w:sz w:val="20"/>
                <w:szCs w:val="20"/>
              </w:rPr>
              <w:t xml:space="preserve"> of Year Mean</w:t>
            </w:r>
          </w:p>
        </w:tc>
      </w:tr>
      <w:tr w:rsidR="009A4E60" w:rsidTr="00B82FF9">
        <w:trPr>
          <w:trHeight w:val="334"/>
        </w:trPr>
        <w:tc>
          <w:tcPr>
            <w:tcW w:w="19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A4E60" w:rsidRDefault="009A4E60" w:rsidP="00CB5BE7">
            <w:pPr>
              <w:jc w:val="center"/>
              <w:rPr>
                <w:b/>
              </w:rPr>
            </w:pPr>
            <w:r>
              <w:rPr>
                <w:b/>
              </w:rPr>
              <w:t>Read Emergent Level Texts</w:t>
            </w:r>
          </w:p>
        </w:tc>
        <w:tc>
          <w:tcPr>
            <w:tcW w:w="3872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Concepts About Print</w:t>
            </w:r>
          </w:p>
          <w:p w:rsidR="009A4E60" w:rsidRPr="004A2877" w:rsidRDefault="009A4E60" w:rsidP="00495C32">
            <w:pPr>
              <w:jc w:val="center"/>
              <w:rPr>
                <w:sz w:val="28"/>
              </w:rPr>
            </w:pPr>
            <w:r>
              <w:rPr>
                <w:sz w:val="24"/>
              </w:rPr>
              <w:t>(</w:t>
            </w:r>
            <w:r w:rsidRPr="004A2877">
              <w:rPr>
                <w:sz w:val="24"/>
              </w:rPr>
              <w:t>in shared text</w:t>
            </w:r>
            <w:r>
              <w:rPr>
                <w:sz w:val="24"/>
              </w:rPr>
              <w:t>)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Reads Decodable Text from </w:t>
            </w:r>
            <w:r w:rsidRPr="003729F0">
              <w:rPr>
                <w:b/>
                <w:i/>
              </w:rPr>
              <w:t>Start Up</w:t>
            </w:r>
            <w:r>
              <w:rPr>
                <w:b/>
              </w:rPr>
              <w:t xml:space="preserve"> </w:t>
            </w:r>
            <w:r w:rsidRPr="003729F0">
              <w:rPr>
                <w:b/>
                <w:i/>
              </w:rPr>
              <w:t>Phonics</w:t>
            </w:r>
          </w:p>
        </w:tc>
        <w:tc>
          <w:tcPr>
            <w:tcW w:w="1936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A4E60" w:rsidRDefault="009A4E60" w:rsidP="00495C32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Reads Decodable Text from </w:t>
            </w:r>
            <w:r w:rsidRPr="003729F0">
              <w:rPr>
                <w:b/>
                <w:i/>
              </w:rPr>
              <w:t>Start Up</w:t>
            </w:r>
            <w:r>
              <w:rPr>
                <w:b/>
              </w:rPr>
              <w:t xml:space="preserve"> </w:t>
            </w:r>
            <w:r w:rsidRPr="003729F0">
              <w:rPr>
                <w:b/>
                <w:i/>
              </w:rPr>
              <w:t>Phonics</w:t>
            </w:r>
          </w:p>
        </w:tc>
      </w:tr>
    </w:tbl>
    <w:p w:rsidR="009B6A3A" w:rsidRDefault="009B6A3A"/>
    <w:sectPr w:rsidR="009B6A3A" w:rsidSect="009B6A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F0" w:rsidRDefault="003729F0" w:rsidP="00F9202A">
      <w:r>
        <w:separator/>
      </w:r>
    </w:p>
  </w:endnote>
  <w:endnote w:type="continuationSeparator" w:id="0">
    <w:p w:rsidR="003729F0" w:rsidRDefault="003729F0" w:rsidP="00F9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F0" w:rsidRPr="00F9202A" w:rsidRDefault="003729F0">
    <w:pPr>
      <w:pStyle w:val="Footer"/>
      <w:rPr>
        <w:sz w:val="18"/>
      </w:rPr>
    </w:pPr>
    <w:r w:rsidRPr="00F9202A">
      <w:rPr>
        <w:sz w:val="18"/>
      </w:rPr>
      <w:t>The purpose of this document is to provide benchmark</w:t>
    </w:r>
    <w:r>
      <w:rPr>
        <w:sz w:val="18"/>
      </w:rPr>
      <w:t>s to aid</w:t>
    </w:r>
    <w:r w:rsidRPr="00F9202A">
      <w:rPr>
        <w:sz w:val="18"/>
      </w:rPr>
      <w:t xml:space="preserve"> in determining if students are on track to proficiency.  To make final report card decisions, as well as instructional decisions, please refer to the grade level </w:t>
    </w:r>
    <w:r w:rsidR="004A2877">
      <w:rPr>
        <w:sz w:val="18"/>
      </w:rPr>
      <w:t>proficiency guides</w:t>
    </w:r>
    <w:r w:rsidRPr="00F9202A">
      <w:rPr>
        <w:sz w:val="18"/>
      </w:rPr>
      <w:t>.</w:t>
    </w:r>
  </w:p>
  <w:p w:rsidR="003729F0" w:rsidRDefault="00372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F0" w:rsidRDefault="003729F0" w:rsidP="00F9202A">
      <w:r>
        <w:separator/>
      </w:r>
    </w:p>
  </w:footnote>
  <w:footnote w:type="continuationSeparator" w:id="0">
    <w:p w:rsidR="003729F0" w:rsidRDefault="003729F0" w:rsidP="00F9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9F0" w:rsidRDefault="003729F0" w:rsidP="000415F5">
    <w:pPr>
      <w:pStyle w:val="Header"/>
      <w:tabs>
        <w:tab w:val="clear" w:pos="4680"/>
        <w:tab w:val="clear" w:pos="9360"/>
        <w:tab w:val="left" w:pos="8202"/>
      </w:tabs>
    </w:pPr>
    <w:r>
      <w:t>Rogers Public Schools</w:t>
    </w:r>
    <w:r>
      <w:ptab w:relativeTo="margin" w:alignment="center" w:leader="none"/>
    </w:r>
    <w:r>
      <w:ptab w:relativeTo="margin" w:alignment="right" w:leader="none"/>
    </w:r>
    <w:r>
      <w:t xml:space="preserve">Revised </w:t>
    </w:r>
    <w:r w:rsidR="00D828D0">
      <w:t>11-10</w:t>
    </w:r>
    <w:r>
      <w:t>-1</w:t>
    </w:r>
    <w:r w:rsidR="004A2877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F1B"/>
    <w:rsid w:val="00006CBD"/>
    <w:rsid w:val="000415F5"/>
    <w:rsid w:val="000743B3"/>
    <w:rsid w:val="00080BF8"/>
    <w:rsid w:val="000830A4"/>
    <w:rsid w:val="000F42F8"/>
    <w:rsid w:val="0013564C"/>
    <w:rsid w:val="001513E6"/>
    <w:rsid w:val="00234051"/>
    <w:rsid w:val="00237843"/>
    <w:rsid w:val="002A4853"/>
    <w:rsid w:val="002E6285"/>
    <w:rsid w:val="003121BA"/>
    <w:rsid w:val="0033120B"/>
    <w:rsid w:val="00362848"/>
    <w:rsid w:val="003729F0"/>
    <w:rsid w:val="003858AC"/>
    <w:rsid w:val="00417539"/>
    <w:rsid w:val="00422E68"/>
    <w:rsid w:val="0045703D"/>
    <w:rsid w:val="00495C32"/>
    <w:rsid w:val="004A2877"/>
    <w:rsid w:val="004F2C7F"/>
    <w:rsid w:val="004F6A74"/>
    <w:rsid w:val="00520774"/>
    <w:rsid w:val="005344BA"/>
    <w:rsid w:val="0054643E"/>
    <w:rsid w:val="00652A49"/>
    <w:rsid w:val="00656259"/>
    <w:rsid w:val="00657E27"/>
    <w:rsid w:val="0066607A"/>
    <w:rsid w:val="006C7239"/>
    <w:rsid w:val="006E3ED2"/>
    <w:rsid w:val="006E7197"/>
    <w:rsid w:val="007031EF"/>
    <w:rsid w:val="00736871"/>
    <w:rsid w:val="00753865"/>
    <w:rsid w:val="0076016D"/>
    <w:rsid w:val="00765741"/>
    <w:rsid w:val="007C1094"/>
    <w:rsid w:val="00880904"/>
    <w:rsid w:val="0088617F"/>
    <w:rsid w:val="00891E81"/>
    <w:rsid w:val="008A7DF6"/>
    <w:rsid w:val="008E08BE"/>
    <w:rsid w:val="009229B7"/>
    <w:rsid w:val="00961880"/>
    <w:rsid w:val="009630FD"/>
    <w:rsid w:val="009A4E60"/>
    <w:rsid w:val="009B6A3A"/>
    <w:rsid w:val="00A0276A"/>
    <w:rsid w:val="00AC037F"/>
    <w:rsid w:val="00AF467C"/>
    <w:rsid w:val="00B0493A"/>
    <w:rsid w:val="00B261E0"/>
    <w:rsid w:val="00BA0895"/>
    <w:rsid w:val="00C555E2"/>
    <w:rsid w:val="00CB5BE7"/>
    <w:rsid w:val="00D0377A"/>
    <w:rsid w:val="00D568D5"/>
    <w:rsid w:val="00D60D89"/>
    <w:rsid w:val="00D828D0"/>
    <w:rsid w:val="00E439DF"/>
    <w:rsid w:val="00E63BCD"/>
    <w:rsid w:val="00E67DDB"/>
    <w:rsid w:val="00EF2725"/>
    <w:rsid w:val="00F44695"/>
    <w:rsid w:val="00F46F1B"/>
    <w:rsid w:val="00F9202A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732E8"/>
  <w15:docId w15:val="{0F548735-F4E3-4428-9060-553F04C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4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02A"/>
  </w:style>
  <w:style w:type="paragraph" w:styleId="Footer">
    <w:name w:val="footer"/>
    <w:basedOn w:val="Normal"/>
    <w:link w:val="FooterChar"/>
    <w:uiPriority w:val="99"/>
    <w:unhideWhenUsed/>
    <w:rsid w:val="00F92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02A"/>
  </w:style>
  <w:style w:type="paragraph" w:styleId="BalloonText">
    <w:name w:val="Balloon Text"/>
    <w:basedOn w:val="Normal"/>
    <w:link w:val="BalloonTextChar"/>
    <w:uiPriority w:val="99"/>
    <w:semiHidden/>
    <w:unhideWhenUsed/>
    <w:rsid w:val="00F92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3</cp:revision>
  <cp:lastPrinted>2017-11-13T14:01:00Z</cp:lastPrinted>
  <dcterms:created xsi:type="dcterms:W3CDTF">2017-11-10T21:43:00Z</dcterms:created>
  <dcterms:modified xsi:type="dcterms:W3CDTF">2017-11-13T14:01:00Z</dcterms:modified>
</cp:coreProperties>
</file>