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C9" w:rsidRDefault="00AA27C9" w:rsidP="00AA27C9">
      <w:r>
        <w:t>Note about the word list-</w:t>
      </w:r>
    </w:p>
    <w:p w:rsidR="00AA27C9" w:rsidRDefault="00AA27C9" w:rsidP="00AA27C9"/>
    <w:p w:rsidR="00AA27C9" w:rsidRDefault="00AA27C9" w:rsidP="00AA27C9">
      <w:r>
        <w:t>As I</w:t>
      </w:r>
      <w:r w:rsidR="007D5E58">
        <w:t xml:space="preserve"> </w:t>
      </w:r>
      <w:r>
        <w:t xml:space="preserve">was reading the story for the first time, I jotted down this list of words that I thought students might struggle with. Most are Tier II words, and will require some explicit teaching of the meaning and use.   Occasionally I thought there was enough information in the text for the students to figure out the meaning and I noted that with the words context clues in parenthesis.  A few words made the list twice and are noted with an asterisk. </w:t>
      </w:r>
    </w:p>
    <w:p w:rsidR="00AA27C9" w:rsidRDefault="00AA27C9" w:rsidP="00AA27C9"/>
    <w:p w:rsidR="00AA27C9" w:rsidRDefault="00AA27C9" w:rsidP="00AA27C9">
      <w:r>
        <w:t>The definitions came from my favorite source for kid-friendly definitions:</w:t>
      </w:r>
    </w:p>
    <w:p w:rsidR="00AA27C9" w:rsidRDefault="00D935C4" w:rsidP="00AA27C9">
      <w:hyperlink r:id="rId6" w:history="1">
        <w:r w:rsidR="00AA27C9" w:rsidRPr="00174A6B">
          <w:rPr>
            <w:rStyle w:val="Hyperlink"/>
          </w:rPr>
          <w:t>http://nhd.heinle.com/Home.aspx</w:t>
        </w:r>
      </w:hyperlink>
      <w:r w:rsidR="00AA27C9">
        <w:t xml:space="preserve"> </w:t>
      </w:r>
    </w:p>
    <w:p w:rsidR="00AA27C9" w:rsidRDefault="00D701C8" w:rsidP="00AA27C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2166827</wp:posOffset>
            </wp:positionH>
            <wp:positionV relativeFrom="paragraph">
              <wp:posOffset>16864</wp:posOffset>
            </wp:positionV>
            <wp:extent cx="3245145" cy="221157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45" cy="221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/>
    <w:p w:rsidR="00AA27C9" w:rsidRDefault="00AA27C9" w:rsidP="00AA27C9">
      <w:r>
        <w:t>This list is by no means an extensive list, but the words would provide opportunities for students to engage in perform</w:t>
      </w:r>
      <w:r w:rsidR="00330B8A">
        <w:t>ance of the</w:t>
      </w:r>
      <w:r>
        <w:t xml:space="preserve"> following standards:</w:t>
      </w:r>
    </w:p>
    <w:p w:rsidR="00AA27C9" w:rsidRDefault="00AA27C9" w:rsidP="00AA27C9"/>
    <w:p w:rsidR="00AA27C9" w:rsidRDefault="00AA27C9" w:rsidP="00AA27C9">
      <w:pPr>
        <w:ind w:left="720"/>
      </w:pPr>
      <w:r w:rsidRPr="00D0071F">
        <w:rPr>
          <w:b/>
        </w:rPr>
        <w:t>L.4.4.a</w:t>
      </w:r>
      <w:r>
        <w:t xml:space="preserve"> Use context clues (e.g., definitions, examples, or restatement in text) as clues to the meaning of a word or phrase</w:t>
      </w:r>
    </w:p>
    <w:p w:rsidR="00D701C8" w:rsidRDefault="00D701C8" w:rsidP="00AA27C9">
      <w:pPr>
        <w:ind w:left="720"/>
      </w:pPr>
    </w:p>
    <w:p w:rsidR="00D701C8" w:rsidRDefault="00D701C8" w:rsidP="00AA27C9">
      <w:pPr>
        <w:ind w:left="720"/>
      </w:pPr>
      <w:proofErr w:type="gramStart"/>
      <w:r w:rsidRPr="00D701C8">
        <w:rPr>
          <w:b/>
        </w:rPr>
        <w:t>L.4.4.c</w:t>
      </w:r>
      <w:r>
        <w:t xml:space="preserve">  Consult</w:t>
      </w:r>
      <w:proofErr w:type="gramEnd"/>
      <w:r>
        <w:t xml:space="preserve"> reference materials (e.g., dictionaries, glossaries thesauruses), both print and digital, to find the pronunciation and determine or clarify the precise meaning of key words and phrases</w:t>
      </w:r>
    </w:p>
    <w:p w:rsidR="00D701C8" w:rsidRDefault="00D701C8" w:rsidP="00AA27C9">
      <w:pPr>
        <w:ind w:left="720"/>
      </w:pPr>
    </w:p>
    <w:p w:rsidR="00AA27C9" w:rsidRPr="00ED53BB" w:rsidRDefault="00AA27C9" w:rsidP="00AA27C9">
      <w:pPr>
        <w:ind w:left="720"/>
      </w:pPr>
      <w:r>
        <w:rPr>
          <w:b/>
        </w:rPr>
        <w:t xml:space="preserve">RL.4.4 </w:t>
      </w:r>
      <w:r>
        <w:t>Use the meaning of words and phrase as they are used in a text, including those that allude to significant characters found in mythology (e.g., Herculean)</w:t>
      </w:r>
    </w:p>
    <w:p w:rsidR="00AA27C9" w:rsidRDefault="00AA27C9" w:rsidP="00AA27C9">
      <w:pPr>
        <w:ind w:left="720"/>
      </w:pPr>
    </w:p>
    <w:p w:rsidR="00AA27C9" w:rsidRDefault="00AA27C9" w:rsidP="00AA27C9">
      <w:pPr>
        <w:ind w:left="720"/>
      </w:pPr>
      <w:r w:rsidRPr="00D0071F">
        <w:rPr>
          <w:b/>
        </w:rPr>
        <w:t>L.4.5.c</w:t>
      </w:r>
      <w:r>
        <w:t xml:space="preserve"> Demonstrate understanding of words by relating them to their opposites (antonyms) and to words with similar but not identical meanings (synonyms).</w:t>
      </w:r>
    </w:p>
    <w:p w:rsidR="00AA27C9" w:rsidRDefault="00AA27C9" w:rsidP="00AA27C9">
      <w:pPr>
        <w:ind w:left="720"/>
      </w:pPr>
    </w:p>
    <w:p w:rsidR="00AA27C9" w:rsidRPr="00D0071F" w:rsidRDefault="00AA27C9" w:rsidP="00AA27C9">
      <w:pPr>
        <w:ind w:left="720"/>
      </w:pPr>
      <w:r w:rsidRPr="00D0071F">
        <w:rPr>
          <w:b/>
        </w:rPr>
        <w:t>L.4.6</w:t>
      </w:r>
      <w:r w:rsidRPr="00D0071F">
        <w:t xml:space="preserve"> Acquire and use accurately grade-appropriate general academic and domain specific words and phrases, including those that signal precise </w:t>
      </w:r>
      <w:r w:rsidRPr="00D0071F">
        <w:rPr>
          <w:b/>
          <w:sz w:val="28"/>
        </w:rPr>
        <w:t>actions</w:t>
      </w:r>
      <w:r w:rsidRPr="00D0071F">
        <w:rPr>
          <w:b/>
        </w:rPr>
        <w:t xml:space="preserve">, </w:t>
      </w:r>
      <w:r w:rsidRPr="00D0071F">
        <w:rPr>
          <w:b/>
          <w:sz w:val="28"/>
        </w:rPr>
        <w:t>emotions</w:t>
      </w:r>
      <w:r w:rsidRPr="00D0071F">
        <w:t xml:space="preserve">, or </w:t>
      </w:r>
      <w:r w:rsidRPr="00D0071F">
        <w:rPr>
          <w:b/>
          <w:sz w:val="28"/>
        </w:rPr>
        <w:t>states of being</w:t>
      </w:r>
      <w:r w:rsidRPr="00D0071F">
        <w:rPr>
          <w:sz w:val="28"/>
        </w:rPr>
        <w:t xml:space="preserve"> </w:t>
      </w:r>
      <w:r w:rsidRPr="00D0071F">
        <w:t>(e.g., q</w:t>
      </w:r>
      <w:r>
        <w:t>uizzed, whi</w:t>
      </w:r>
      <w:r w:rsidRPr="00D0071F">
        <w:t xml:space="preserve">ned, stammered) and that are </w:t>
      </w:r>
      <w:r w:rsidRPr="00ED53BB">
        <w:rPr>
          <w:b/>
          <w:sz w:val="28"/>
        </w:rPr>
        <w:t>basic to a particular topic</w:t>
      </w:r>
      <w:r w:rsidRPr="00ED53BB">
        <w:rPr>
          <w:sz w:val="28"/>
        </w:rPr>
        <w:t xml:space="preserve"> </w:t>
      </w:r>
      <w:r w:rsidRPr="00D0071F">
        <w:t>(e.g., wildlife conservation, and endangered when discussing animal preservation)</w:t>
      </w:r>
    </w:p>
    <w:p w:rsidR="00E865AB" w:rsidRDefault="00E865AB"/>
    <w:p w:rsidR="00D701C8" w:rsidRDefault="00D701C8"/>
    <w:p w:rsidR="00D701C8" w:rsidRDefault="00D701C8"/>
    <w:p w:rsidR="00D701C8" w:rsidRDefault="00D701C8"/>
    <w:p w:rsidR="00D701C8" w:rsidRDefault="00D701C8"/>
    <w:p w:rsidR="00330B8A" w:rsidRDefault="00330B8A"/>
    <w:p w:rsidR="00330B8A" w:rsidRDefault="00330B8A">
      <w:r>
        <w:lastRenderedPageBreak/>
        <w:t>Here are a few graphic organizers that would apply to this book and the 4</w:t>
      </w:r>
      <w:r w:rsidRPr="00330B8A">
        <w:rPr>
          <w:vertAlign w:val="superscript"/>
        </w:rPr>
        <w:t>th</w:t>
      </w:r>
      <w:r>
        <w:t xml:space="preserve"> grade standards.</w:t>
      </w:r>
    </w:p>
    <w:p w:rsidR="00D701C8" w:rsidRDefault="00D701C8"/>
    <w:p w:rsidR="00D701C8" w:rsidRDefault="00D701C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102870</wp:posOffset>
            </wp:positionV>
            <wp:extent cx="4653280" cy="3573780"/>
            <wp:effectExtent l="19050" t="19050" r="13970" b="266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280" cy="3573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3187552</wp:posOffset>
            </wp:positionH>
            <wp:positionV relativeFrom="paragraph">
              <wp:posOffset>2510</wp:posOffset>
            </wp:positionV>
            <wp:extent cx="3394474" cy="2579252"/>
            <wp:effectExtent l="19050" t="19050" r="15476" b="11548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474" cy="25792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158115</wp:posOffset>
            </wp:positionV>
            <wp:extent cx="3373120" cy="2559050"/>
            <wp:effectExtent l="19050" t="19050" r="17780" b="1270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559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100965</wp:posOffset>
            </wp:positionV>
            <wp:extent cx="3474720" cy="2654935"/>
            <wp:effectExtent l="19050" t="19050" r="11430" b="12065"/>
            <wp:wrapTight wrapText="bothSides">
              <wp:wrapPolygon edited="0">
                <wp:start x="-118" y="-155"/>
                <wp:lineTo x="-118" y="21698"/>
                <wp:lineTo x="21671" y="21698"/>
                <wp:lineTo x="21671" y="-155"/>
                <wp:lineTo x="-118" y="-155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549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/>
    <w:p w:rsidR="00D701C8" w:rsidRDefault="00D701C8">
      <w:r>
        <w:t xml:space="preserve">The last 3 would </w:t>
      </w:r>
      <w:r w:rsidR="001B355A">
        <w:t>provide o</w:t>
      </w:r>
      <w:r>
        <w:t xml:space="preserve">pportunities to engage students with </w:t>
      </w:r>
      <w:proofErr w:type="gramStart"/>
      <w:r w:rsidRPr="00D701C8">
        <w:rPr>
          <w:b/>
        </w:rPr>
        <w:t>L.4.4.c</w:t>
      </w:r>
      <w:r>
        <w:t xml:space="preserve">  (</w:t>
      </w:r>
      <w:proofErr w:type="gramEnd"/>
      <w:r>
        <w:t>consult reference materials).</w:t>
      </w:r>
    </w:p>
    <w:p w:rsidR="00330B8A" w:rsidRDefault="00330B8A"/>
    <w:sectPr w:rsidR="00330B8A" w:rsidSect="00D701C8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58" w:rsidRDefault="007D5E58" w:rsidP="007D5E58">
      <w:r>
        <w:separator/>
      </w:r>
    </w:p>
  </w:endnote>
  <w:endnote w:type="continuationSeparator" w:id="0">
    <w:p w:rsidR="007D5E58" w:rsidRDefault="007D5E58" w:rsidP="007D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58" w:rsidRDefault="007D5E58" w:rsidP="007D5E58">
      <w:r>
        <w:separator/>
      </w:r>
    </w:p>
  </w:footnote>
  <w:footnote w:type="continuationSeparator" w:id="0">
    <w:p w:rsidR="007D5E58" w:rsidRDefault="007D5E58" w:rsidP="007D5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58" w:rsidRDefault="007D5E58">
    <w:pPr>
      <w:pStyle w:val="Header"/>
    </w:pPr>
    <w:r>
      <w:t>Susan Hensley</w:t>
    </w:r>
    <w:r>
      <w:tab/>
    </w:r>
    <w:r>
      <w:tab/>
      <w:t>1-2-14</w:t>
    </w:r>
  </w:p>
  <w:p w:rsidR="007D5E58" w:rsidRDefault="007D5E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7C9"/>
    <w:rsid w:val="001B355A"/>
    <w:rsid w:val="002974EF"/>
    <w:rsid w:val="00330B8A"/>
    <w:rsid w:val="007D5E58"/>
    <w:rsid w:val="00AA27C9"/>
    <w:rsid w:val="00D00CF2"/>
    <w:rsid w:val="00D701C8"/>
    <w:rsid w:val="00D935C4"/>
    <w:rsid w:val="00E8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7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E58"/>
  </w:style>
  <w:style w:type="paragraph" w:styleId="Footer">
    <w:name w:val="footer"/>
    <w:basedOn w:val="Normal"/>
    <w:link w:val="FooterChar"/>
    <w:uiPriority w:val="99"/>
    <w:semiHidden/>
    <w:unhideWhenUsed/>
    <w:rsid w:val="007D5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hd.heinle.com/Home.aspx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st</cp:lastModifiedBy>
  <cp:revision>2</cp:revision>
  <dcterms:created xsi:type="dcterms:W3CDTF">2014-01-02T14:44:00Z</dcterms:created>
  <dcterms:modified xsi:type="dcterms:W3CDTF">2014-01-02T14:44:00Z</dcterms:modified>
</cp:coreProperties>
</file>