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422CFE" w:rsidTr="00655CDC">
        <w:trPr>
          <w:trHeight w:val="527"/>
        </w:trPr>
        <w:tc>
          <w:tcPr>
            <w:tcW w:w="1638" w:type="dxa"/>
            <w:vAlign w:val="center"/>
          </w:tcPr>
          <w:p w:rsidR="00422CFE" w:rsidRPr="00655CDC" w:rsidRDefault="00422CFE" w:rsidP="00655CDC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655CDC">
              <w:rPr>
                <w:b/>
                <w:sz w:val="36"/>
              </w:rPr>
              <w:t>2</w:t>
            </w:r>
          </w:p>
        </w:tc>
        <w:tc>
          <w:tcPr>
            <w:tcW w:w="9475" w:type="dxa"/>
            <w:gridSpan w:val="2"/>
          </w:tcPr>
          <w:p w:rsidR="00422CFE" w:rsidRPr="00422CFE" w:rsidRDefault="00E92287" w:rsidP="007238B5">
            <w:pPr>
              <w:rPr>
                <w:b/>
              </w:rPr>
            </w:pPr>
            <w:r>
              <w:rPr>
                <w:b/>
              </w:rPr>
              <w:t>The Wild West</w:t>
            </w:r>
          </w:p>
          <w:p w:rsidR="00422CFE" w:rsidRDefault="00422CFE" w:rsidP="00E92287">
            <w:r>
              <w:t xml:space="preserve">Unit Essential Question:  </w:t>
            </w:r>
            <w:r w:rsidR="00E92287">
              <w:rPr>
                <w:i/>
              </w:rPr>
              <w:t>How does setting affect a story</w:t>
            </w:r>
            <w:r w:rsidRPr="00422CFE">
              <w:rPr>
                <w:i/>
              </w:rPr>
              <w:t>?</w:t>
            </w:r>
          </w:p>
        </w:tc>
      </w:tr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422CFE" w:rsidRPr="00E92287" w:rsidRDefault="00E92287" w:rsidP="007238B5">
            <w:r>
              <w:rPr>
                <w:u w:val="single"/>
              </w:rPr>
              <w:t>Paul Bunyan</w:t>
            </w:r>
            <w:r>
              <w:t>, Kellogg</w:t>
            </w:r>
          </w:p>
          <w:p w:rsidR="00655CDC" w:rsidRPr="00655CDC" w:rsidRDefault="00E92287" w:rsidP="007238B5">
            <w:r>
              <w:rPr>
                <w:i/>
              </w:rPr>
              <w:t>Paul Bunyan</w:t>
            </w:r>
            <w:r w:rsidR="00655CDC">
              <w:t xml:space="preserve"> PPT</w:t>
            </w:r>
          </w:p>
        </w:tc>
      </w:tr>
      <w:tr w:rsidR="009E7188" w:rsidTr="007238B5">
        <w:trPr>
          <w:trHeight w:val="547"/>
        </w:trPr>
        <w:tc>
          <w:tcPr>
            <w:tcW w:w="1638" w:type="dxa"/>
          </w:tcPr>
          <w:p w:rsidR="009E7188" w:rsidRDefault="009E7188" w:rsidP="007238B5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422CFE" w:rsidRDefault="00335981" w:rsidP="00E92287">
            <w:r w:rsidRPr="00655CDC">
              <w:rPr>
                <w:sz w:val="20"/>
              </w:rPr>
              <w:t>L.</w:t>
            </w:r>
            <w:r w:rsidR="00E92287">
              <w:rPr>
                <w:sz w:val="20"/>
              </w:rPr>
              <w:t>2</w:t>
            </w:r>
            <w:r w:rsidRPr="00655CDC">
              <w:rPr>
                <w:sz w:val="20"/>
              </w:rPr>
              <w:t xml:space="preserve">.6 Use words and phrases acquired through conversations, reading and being read to, and responding to texts, including using </w:t>
            </w:r>
            <w:r w:rsidR="00E92287">
              <w:rPr>
                <w:sz w:val="20"/>
              </w:rPr>
              <w:t>adjectives and adverbs to describe (e.g., When other kids are happy that makes me happy)</w:t>
            </w:r>
          </w:p>
        </w:tc>
      </w:tr>
      <w:tr w:rsidR="009E7188" w:rsidTr="007238B5">
        <w:trPr>
          <w:trHeight w:val="239"/>
        </w:trPr>
        <w:tc>
          <w:tcPr>
            <w:tcW w:w="163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7238B5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7238B5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99674B" w:rsidRPr="007238B5" w:rsidRDefault="00335981" w:rsidP="007238B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words I learn from a text</w:t>
            </w:r>
            <w:r w:rsidR="003A2A33" w:rsidRPr="007238B5">
              <w:rPr>
                <w:rFonts w:ascii="Comic Sans MS" w:hAnsi="Comic Sans MS"/>
                <w:sz w:val="24"/>
              </w:rPr>
              <w:t>.</w:t>
            </w:r>
          </w:p>
          <w:p w:rsidR="00EC3CDB" w:rsidRDefault="007238B5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“How well do you think you will do?”</w:t>
            </w:r>
          </w:p>
          <w:p w:rsidR="0099674B" w:rsidRPr="009676BE" w:rsidRDefault="007238B5" w:rsidP="007238B5">
            <w:pPr>
              <w:jc w:val="center"/>
              <w:rPr>
                <w:rFonts w:ascii="Comic Sans MS" w:hAnsi="Comic Sans MS"/>
              </w:rPr>
            </w:pPr>
            <w:r w:rsidRPr="007238B5">
              <w:rPr>
                <w:rFonts w:ascii="Comic Sans MS" w:hAnsi="Comic Sans MS"/>
                <w:sz w:val="20"/>
              </w:rPr>
              <w:t>Score perceived performance of the goal</w:t>
            </w:r>
          </w:p>
        </w:tc>
      </w:tr>
      <w:tr w:rsidR="009E7188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1F0005" w:rsidRDefault="001F0005" w:rsidP="007238B5">
            <w:pPr>
              <w:rPr>
                <w:rFonts w:ascii="Comic Sans MS" w:hAnsi="Comic Sans MS"/>
              </w:rPr>
            </w:pPr>
          </w:p>
          <w:p w:rsidR="009676BE" w:rsidRPr="009676BE" w:rsidRDefault="001F0005" w:rsidP="003359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“Tell your partner </w:t>
            </w:r>
            <w:r w:rsidR="00335981">
              <w:rPr>
                <w:rFonts w:ascii="Comic Sans MS" w:hAnsi="Comic Sans MS"/>
              </w:rPr>
              <w:t>about a new word you learned last week</w:t>
            </w:r>
            <w:r>
              <w:rPr>
                <w:rFonts w:ascii="Comic Sans MS" w:hAnsi="Comic Sans MS"/>
              </w:rPr>
              <w:t>.”</w:t>
            </w:r>
          </w:p>
        </w:tc>
      </w:tr>
      <w:tr w:rsidR="009E7188" w:rsidTr="00655CDC">
        <w:trPr>
          <w:trHeight w:val="4793"/>
        </w:trPr>
        <w:tc>
          <w:tcPr>
            <w:tcW w:w="1638" w:type="dxa"/>
          </w:tcPr>
          <w:p w:rsidR="009E7188" w:rsidRPr="001F0005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Pr="001F0005">
              <w:rPr>
                <w:b/>
                <w:sz w:val="20"/>
                <w:szCs w:val="20"/>
              </w:rPr>
              <w:t>ew Information</w:t>
            </w:r>
          </w:p>
          <w:p w:rsidR="00422CFE" w:rsidRPr="001F0005" w:rsidRDefault="00422CFE" w:rsidP="007238B5">
            <w:pPr>
              <w:rPr>
                <w:b/>
                <w:sz w:val="20"/>
                <w:szCs w:val="20"/>
              </w:rPr>
            </w:pPr>
          </w:p>
          <w:p w:rsidR="00422CFE" w:rsidRPr="001F0005" w:rsidRDefault="00422CFE" w:rsidP="007238B5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335981">
              <w:rPr>
                <w:sz w:val="16"/>
                <w:szCs w:val="16"/>
              </w:rPr>
              <w:t xml:space="preserve">(5) Homework </w:t>
            </w:r>
            <w:r w:rsidRPr="003E21A0">
              <w:rPr>
                <w:sz w:val="16"/>
                <w:szCs w:val="16"/>
              </w:rPr>
              <w:t>and Practice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3E21A0">
              <w:rPr>
                <w:sz w:val="16"/>
                <w:szCs w:val="16"/>
                <w:highlight w:val="yellow"/>
              </w:rPr>
              <w:t>(11) Teaching Specific Types of Knowledge</w:t>
            </w:r>
          </w:p>
        </w:tc>
        <w:tc>
          <w:tcPr>
            <w:tcW w:w="6288" w:type="dxa"/>
          </w:tcPr>
          <w:p w:rsid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</w:t>
            </w:r>
            <w:r w:rsidR="006D3B49">
              <w:rPr>
                <w:rFonts w:ascii="Comic Sans MS" w:hAnsi="Comic Sans MS"/>
                <w:u w:val="single"/>
              </w:rPr>
              <w:t xml:space="preserve">Paul </w:t>
            </w:r>
            <w:proofErr w:type="gramStart"/>
            <w:r w:rsidR="006D3B49">
              <w:rPr>
                <w:rFonts w:ascii="Comic Sans MS" w:hAnsi="Comic Sans MS"/>
                <w:u w:val="single"/>
              </w:rPr>
              <w:t>Bunyan</w:t>
            </w:r>
            <w:r>
              <w:rPr>
                <w:rFonts w:ascii="Comic Sans MS" w:hAnsi="Comic Sans MS"/>
              </w:rPr>
              <w:t xml:space="preserve"> .</w:t>
            </w:r>
            <w:proofErr w:type="gramEnd"/>
            <w:r>
              <w:rPr>
                <w:rFonts w:ascii="Comic Sans MS" w:hAnsi="Comic Sans MS"/>
              </w:rPr>
              <w:t xml:space="preserve">  </w:t>
            </w:r>
          </w:p>
          <w:p w:rsidR="007238B5" w:rsidRP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 a brief explanation of any words that may be new or unfamiliar.</w:t>
            </w:r>
          </w:p>
          <w:p w:rsidR="007238B5" w:rsidRPr="00655CDC" w:rsidRDefault="007238B5" w:rsidP="007238B5">
            <w:pPr>
              <w:pStyle w:val="ListParagraph"/>
              <w:ind w:left="0"/>
              <w:rPr>
                <w:rFonts w:ascii="Comic Sans MS" w:hAnsi="Comic Sans MS"/>
                <w:sz w:val="6"/>
              </w:rPr>
            </w:pPr>
          </w:p>
          <w:p w:rsid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 the following words:</w:t>
            </w:r>
          </w:p>
          <w:p w:rsidR="00335981" w:rsidRPr="006C5E3D" w:rsidRDefault="00E92287" w:rsidP="00335981">
            <w:pPr>
              <w:pStyle w:val="ListParagraph"/>
              <w:rPr>
                <w:b/>
              </w:rPr>
            </w:pPr>
            <w:r w:rsidRPr="006C5E3D">
              <w:rPr>
                <w:b/>
              </w:rPr>
              <w:t>urge</w:t>
            </w:r>
          </w:p>
          <w:p w:rsidR="00335981" w:rsidRPr="006C5E3D" w:rsidRDefault="00E92287" w:rsidP="00335981">
            <w:pPr>
              <w:pStyle w:val="ListParagraph"/>
              <w:rPr>
                <w:b/>
              </w:rPr>
            </w:pPr>
            <w:r w:rsidRPr="006C5E3D">
              <w:rPr>
                <w:b/>
              </w:rPr>
              <w:t>thunderous</w:t>
            </w:r>
          </w:p>
          <w:p w:rsidR="00335981" w:rsidRPr="006C5E3D" w:rsidRDefault="00E92287" w:rsidP="00335981">
            <w:pPr>
              <w:pStyle w:val="ListParagraph"/>
              <w:rPr>
                <w:b/>
              </w:rPr>
            </w:pPr>
            <w:r w:rsidRPr="006C5E3D">
              <w:rPr>
                <w:b/>
              </w:rPr>
              <w:t>longingly</w:t>
            </w:r>
          </w:p>
          <w:p w:rsidR="001F0005" w:rsidRPr="00655CDC" w:rsidRDefault="001F0005" w:rsidP="007238B5">
            <w:pPr>
              <w:pStyle w:val="ListParagraph"/>
              <w:ind w:left="0"/>
              <w:rPr>
                <w:rFonts w:ascii="Comic Sans MS" w:hAnsi="Comic Sans MS"/>
                <w:sz w:val="10"/>
              </w:rPr>
            </w:pPr>
          </w:p>
          <w:p w:rsidR="001F0005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Text Talk steps</w:t>
            </w:r>
            <w:r w:rsidR="001F0005">
              <w:rPr>
                <w:rFonts w:ascii="Comic Sans MS" w:hAnsi="Comic Sans MS"/>
              </w:rPr>
              <w:t>:</w:t>
            </w:r>
          </w:p>
          <w:p w:rsidR="001F000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Contextualize the word</w:t>
            </w:r>
          </w:p>
          <w:p w:rsidR="007238B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Say the word together</w:t>
            </w:r>
          </w:p>
          <w:p w:rsidR="001F000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 student friendly definition</w:t>
            </w:r>
          </w:p>
          <w:p w:rsidR="00335981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words in other contexts</w:t>
            </w:r>
          </w:p>
          <w:p w:rsidR="00655CDC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Engage the students in using the word</w:t>
            </w:r>
          </w:p>
          <w:p w:rsidR="00655CDC" w:rsidRPr="007238B5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Relate all three words together</w:t>
            </w:r>
          </w:p>
          <w:p w:rsidR="001F0005" w:rsidRPr="00370784" w:rsidRDefault="001F0005" w:rsidP="007238B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0741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655CDC" w:rsidTr="00655CDC">
        <w:trPr>
          <w:trHeight w:val="2153"/>
        </w:trPr>
        <w:tc>
          <w:tcPr>
            <w:tcW w:w="1638" w:type="dxa"/>
          </w:tcPr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655CDC" w:rsidRPr="009E7188" w:rsidRDefault="00655CDC" w:rsidP="00655CDC">
            <w:pPr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655CDC">
              <w:rPr>
                <w:sz w:val="16"/>
                <w:szCs w:val="16"/>
              </w:rPr>
              <w:t>(2) Indentifying Similarities and Differences</w:t>
            </w:r>
          </w:p>
          <w:p w:rsidR="00655CDC" w:rsidRPr="00655CDC" w:rsidRDefault="00655CDC" w:rsidP="00655CDC">
            <w:pPr>
              <w:rPr>
                <w:sz w:val="8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655CDC" w:rsidRPr="00655CDC" w:rsidRDefault="00655CDC" w:rsidP="00655CDC">
            <w:pPr>
              <w:rPr>
                <w:sz w:val="12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6C5E3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655CDC" w:rsidRPr="00EC3CDB" w:rsidRDefault="00655CDC" w:rsidP="00655C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Students draw a picture </w:t>
            </w:r>
            <w:r w:rsidR="00E92287">
              <w:rPr>
                <w:rFonts w:ascii="Comic Sans MS" w:hAnsi="Comic Sans MS"/>
              </w:rPr>
              <w:t xml:space="preserve">or write a sentence </w:t>
            </w:r>
            <w:r>
              <w:rPr>
                <w:rFonts w:ascii="Comic Sans MS" w:hAnsi="Comic Sans MS"/>
              </w:rPr>
              <w:t>to show they know what each word means.</w:t>
            </w:r>
          </w:p>
        </w:tc>
      </w:tr>
      <w:tr w:rsidR="00655CDC" w:rsidTr="00655CDC">
        <w:trPr>
          <w:trHeight w:val="1179"/>
        </w:trPr>
        <w:tc>
          <w:tcPr>
            <w:tcW w:w="1638" w:type="dxa"/>
          </w:tcPr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655CDC" w:rsidRPr="00422CFE" w:rsidRDefault="00655CDC" w:rsidP="00655CDC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655CDC" w:rsidRDefault="00655CDC" w:rsidP="00655C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Revisit the goals and record understanding after the goal.</w:t>
            </w:r>
          </w:p>
          <w:p w:rsidR="00655CDC" w:rsidRDefault="00655CDC" w:rsidP="00655CDC">
            <w:pPr>
              <w:rPr>
                <w:rFonts w:ascii="Comic Sans MS" w:hAnsi="Comic Sans MS"/>
              </w:rPr>
            </w:pPr>
          </w:p>
          <w:p w:rsidR="00655CDC" w:rsidRPr="007238B5" w:rsidRDefault="00655CDC" w:rsidP="00655C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words I learn from a text</w:t>
            </w:r>
            <w:r w:rsidRPr="007238B5">
              <w:rPr>
                <w:rFonts w:ascii="Comic Sans MS" w:hAnsi="Comic Sans MS"/>
                <w:sz w:val="24"/>
              </w:rPr>
              <w:t>.</w:t>
            </w:r>
          </w:p>
          <w:p w:rsidR="00655CDC" w:rsidRPr="0099674B" w:rsidRDefault="00655CDC" w:rsidP="00655CDC">
            <w:pPr>
              <w:rPr>
                <w:rFonts w:ascii="Comic Sans MS" w:hAnsi="Comic Sans MS"/>
              </w:rPr>
            </w:pPr>
          </w:p>
        </w:tc>
      </w:tr>
    </w:tbl>
    <w:p w:rsidR="00A0480D" w:rsidRPr="00370784" w:rsidRDefault="00A0480D">
      <w:pPr>
        <w:rPr>
          <w:b/>
        </w:rPr>
      </w:pPr>
    </w:p>
    <w:sectPr w:rsidR="00A0480D" w:rsidRPr="00370784" w:rsidSect="00A0480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45D" w:rsidRDefault="00E6545D" w:rsidP="009676BE">
      <w:r>
        <w:separator/>
      </w:r>
    </w:p>
  </w:endnote>
  <w:endnote w:type="continuationSeparator" w:id="0">
    <w:p w:rsidR="00E6545D" w:rsidRDefault="00E6545D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45D" w:rsidRDefault="00E6545D" w:rsidP="009676BE">
      <w:r>
        <w:separator/>
      </w:r>
    </w:p>
  </w:footnote>
  <w:footnote w:type="continuationSeparator" w:id="0">
    <w:p w:rsidR="00E6545D" w:rsidRDefault="00E6545D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05" w:rsidRDefault="00E616DA">
    <w:pPr>
      <w:pStyle w:val="Header"/>
    </w:pPr>
    <w:r>
      <w:t>2</w:t>
    </w:r>
    <w:r w:rsidRPr="00E616DA">
      <w:rPr>
        <w:vertAlign w:val="superscript"/>
      </w:rPr>
      <w:t>nd</w:t>
    </w:r>
    <w:r w:rsidR="005A211D">
      <w:t xml:space="preserve"> </w:t>
    </w:r>
    <w:r w:rsidR="001F0005">
      <w:t xml:space="preserve">Grade Unit </w:t>
    </w:r>
    <w:r w:rsidR="005A211D">
      <w:t>2</w:t>
    </w:r>
    <w:r w:rsidR="001F0005">
      <w:ptab w:relativeTo="margin" w:alignment="center" w:leader="none"/>
    </w:r>
    <w:r w:rsidR="001F0005">
      <w:ptab w:relativeTo="margin" w:alignment="right" w:leader="none"/>
    </w:r>
    <w:r w:rsidR="005A211D">
      <w:t>9</w:t>
    </w:r>
    <w:r w:rsidR="0010517E">
      <w:t>-</w:t>
    </w:r>
    <w:r w:rsidR="005A211D">
      <w:t>21</w:t>
    </w:r>
    <w:r w:rsidR="001F0005">
      <w:t>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B0938"/>
    <w:rsid w:val="000E5A17"/>
    <w:rsid w:val="0010517E"/>
    <w:rsid w:val="00130E73"/>
    <w:rsid w:val="0013564C"/>
    <w:rsid w:val="001D7E15"/>
    <w:rsid w:val="001F0005"/>
    <w:rsid w:val="001F0EDA"/>
    <w:rsid w:val="00237843"/>
    <w:rsid w:val="00265A65"/>
    <w:rsid w:val="00267915"/>
    <w:rsid w:val="002B3A2A"/>
    <w:rsid w:val="002C119B"/>
    <w:rsid w:val="002E6285"/>
    <w:rsid w:val="002F4C72"/>
    <w:rsid w:val="003121BA"/>
    <w:rsid w:val="0033120B"/>
    <w:rsid w:val="00335981"/>
    <w:rsid w:val="0034699F"/>
    <w:rsid w:val="00370784"/>
    <w:rsid w:val="003A2A33"/>
    <w:rsid w:val="003C11E4"/>
    <w:rsid w:val="003D5B14"/>
    <w:rsid w:val="003E21A0"/>
    <w:rsid w:val="003E4301"/>
    <w:rsid w:val="00410ADA"/>
    <w:rsid w:val="00417539"/>
    <w:rsid w:val="00422CFE"/>
    <w:rsid w:val="00422E68"/>
    <w:rsid w:val="00440188"/>
    <w:rsid w:val="00460BF2"/>
    <w:rsid w:val="00485316"/>
    <w:rsid w:val="004E7A42"/>
    <w:rsid w:val="004F6A74"/>
    <w:rsid w:val="00520774"/>
    <w:rsid w:val="005344BA"/>
    <w:rsid w:val="005A211D"/>
    <w:rsid w:val="006105AD"/>
    <w:rsid w:val="00620B30"/>
    <w:rsid w:val="00652A49"/>
    <w:rsid w:val="00655CDC"/>
    <w:rsid w:val="006C2057"/>
    <w:rsid w:val="006C405E"/>
    <w:rsid w:val="006C5E3D"/>
    <w:rsid w:val="006C7239"/>
    <w:rsid w:val="006D3B49"/>
    <w:rsid w:val="006E7197"/>
    <w:rsid w:val="007031EF"/>
    <w:rsid w:val="007238B5"/>
    <w:rsid w:val="00736871"/>
    <w:rsid w:val="00752F10"/>
    <w:rsid w:val="00753865"/>
    <w:rsid w:val="007C1094"/>
    <w:rsid w:val="007E5C14"/>
    <w:rsid w:val="007F7A91"/>
    <w:rsid w:val="008167DD"/>
    <w:rsid w:val="008662EF"/>
    <w:rsid w:val="00880904"/>
    <w:rsid w:val="0088617F"/>
    <w:rsid w:val="00891E81"/>
    <w:rsid w:val="008A16BB"/>
    <w:rsid w:val="008A7DF6"/>
    <w:rsid w:val="009229B7"/>
    <w:rsid w:val="009630FD"/>
    <w:rsid w:val="009676BE"/>
    <w:rsid w:val="00993539"/>
    <w:rsid w:val="0099674B"/>
    <w:rsid w:val="009B6A3A"/>
    <w:rsid w:val="009E7188"/>
    <w:rsid w:val="00A0276A"/>
    <w:rsid w:val="00A0480D"/>
    <w:rsid w:val="00A57D96"/>
    <w:rsid w:val="00A8421F"/>
    <w:rsid w:val="00A93FE8"/>
    <w:rsid w:val="00AA34AA"/>
    <w:rsid w:val="00AA4C20"/>
    <w:rsid w:val="00AC037F"/>
    <w:rsid w:val="00AE49F6"/>
    <w:rsid w:val="00AF1E11"/>
    <w:rsid w:val="00B0493A"/>
    <w:rsid w:val="00B261E0"/>
    <w:rsid w:val="00B873FF"/>
    <w:rsid w:val="00BA0895"/>
    <w:rsid w:val="00BE702F"/>
    <w:rsid w:val="00C555E2"/>
    <w:rsid w:val="00C67C80"/>
    <w:rsid w:val="00D03DEC"/>
    <w:rsid w:val="00D60D89"/>
    <w:rsid w:val="00DB4979"/>
    <w:rsid w:val="00E36CA0"/>
    <w:rsid w:val="00E439DF"/>
    <w:rsid w:val="00E616DA"/>
    <w:rsid w:val="00E63BCD"/>
    <w:rsid w:val="00E6545D"/>
    <w:rsid w:val="00E67DDB"/>
    <w:rsid w:val="00E92287"/>
    <w:rsid w:val="00EC3CDB"/>
    <w:rsid w:val="00EF2725"/>
    <w:rsid w:val="00F23F46"/>
    <w:rsid w:val="00F348FB"/>
    <w:rsid w:val="00F557D7"/>
    <w:rsid w:val="00FA1778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4</cp:revision>
  <dcterms:created xsi:type="dcterms:W3CDTF">2013-09-21T18:48:00Z</dcterms:created>
  <dcterms:modified xsi:type="dcterms:W3CDTF">2013-09-21T18:59:00Z</dcterms:modified>
</cp:coreProperties>
</file>