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EF" w:rsidRDefault="00DD1CEA" w:rsidP="0035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43pt;z-index:-251665408" wrapcoords="498 0 208 1137 0 3789 -83 16674 2908 18189 10592 18947 10925 21221 11008 21221 11963 21221 12088 21221 12420 18189 19066 18189 21642 16674 21600 5305 20894 3789 18651 0 498 0">
            <v:shadow color="#868686"/>
            <v:textpath style="font-family:&quot;Arial Black&quot;;v-text-kern:t" trim="t" fitpath="t" string="Sharing Subs"/>
            <w10:wrap type="tight"/>
          </v:shape>
        </w:pict>
      </w:r>
      <w:r>
        <w:rPr>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3360" wrapcoords="-58 0 -58 21300 21600 21300 21600 0 -58 0" stroked="f">
            <v:textbox>
              <w:txbxContent>
                <w:p w:rsidR="00040CEF" w:rsidRDefault="00040CEF" w:rsidP="006A24BB">
                  <w:r w:rsidRPr="003E52DD">
                    <w:rPr>
                      <w:sz w:val="40"/>
                      <w:szCs w:val="40"/>
                    </w:rPr>
                    <w:t>Name</w:t>
                  </w:r>
                  <w:r>
                    <w:t xml:space="preserve"> __________________</w:t>
                  </w:r>
                  <w:r>
                    <w:softHyphen/>
                  </w:r>
                  <w:r>
                    <w:softHyphen/>
                  </w:r>
                  <w:r>
                    <w:softHyphen/>
                  </w:r>
                  <w:r>
                    <w:softHyphen/>
                    <w:t>_________________</w:t>
                  </w:r>
                </w:p>
                <w:p w:rsidR="00040CEF" w:rsidRDefault="00040CEF" w:rsidP="006A24BB"/>
                <w:p w:rsidR="00040CEF" w:rsidRDefault="00040CEF" w:rsidP="006A24BB"/>
              </w:txbxContent>
            </v:textbox>
            <w10:wrap type="tight"/>
          </v:shape>
        </w:pict>
      </w:r>
    </w:p>
    <w:p w:rsidR="00040CEF" w:rsidRPr="00B03054" w:rsidRDefault="00DD1CEA" w:rsidP="00B03054">
      <w:r>
        <w:rPr>
          <w:noProof/>
        </w:rPr>
        <w:pict>
          <v:shape id="_x0000_s1028" type="#_x0000_t202" style="position:absolute;margin-left:395pt;margin-top:9.2pt;width:281pt;height:54pt;z-index:251652096" stroked="f">
            <v:textbox style="mso-next-textbox:#_x0000_s1028">
              <w:txbxContent>
                <w:p w:rsidR="00040CEF" w:rsidRDefault="00040CEF" w:rsidP="009E4A0F">
                  <w:r w:rsidRPr="003E52DD">
                    <w:rPr>
                      <w:sz w:val="40"/>
                      <w:szCs w:val="40"/>
                    </w:rPr>
                    <w:t>Name</w:t>
                  </w:r>
                  <w:r>
                    <w:t xml:space="preserve"> __________________</w:t>
                  </w:r>
                  <w:r>
                    <w:softHyphen/>
                  </w:r>
                  <w:r>
                    <w:softHyphen/>
                  </w:r>
                  <w:r>
                    <w:softHyphen/>
                  </w:r>
                  <w:r>
                    <w:softHyphen/>
                    <w:t>_________________</w:t>
                  </w:r>
                </w:p>
                <w:p w:rsidR="00040CEF" w:rsidRDefault="00040CEF" w:rsidP="009E4A0F"/>
                <w:p w:rsidR="00040CEF" w:rsidRDefault="00040CEF" w:rsidP="009E4A0F"/>
              </w:txbxContent>
            </v:textbox>
          </v:shape>
        </w:pict>
      </w:r>
    </w:p>
    <w:p w:rsidR="00040CEF" w:rsidRDefault="005D3C94" w:rsidP="00B03054">
      <w:pPr>
        <w:jc w:val="center"/>
      </w:pPr>
      <w:r>
        <w:rPr>
          <w:noProof/>
        </w:rPr>
        <w:drawing>
          <wp:anchor distT="0" distB="0" distL="114300" distR="114300" simplePos="0" relativeHeight="251675135" behindDoc="1" locked="0" layoutInCell="1" allowOverlap="1">
            <wp:simplePos x="0" y="0"/>
            <wp:positionH relativeFrom="column">
              <wp:posOffset>1952625</wp:posOffset>
            </wp:positionH>
            <wp:positionV relativeFrom="paragraph">
              <wp:posOffset>83820</wp:posOffset>
            </wp:positionV>
            <wp:extent cx="1845310" cy="1841500"/>
            <wp:effectExtent l="19050" t="0" r="2540" b="0"/>
            <wp:wrapTight wrapText="bothSides">
              <wp:wrapPolygon edited="0">
                <wp:start x="-223" y="0"/>
                <wp:lineTo x="-223" y="21451"/>
                <wp:lineTo x="21630" y="21451"/>
                <wp:lineTo x="21630" y="0"/>
                <wp:lineTo x="-223" y="0"/>
              </wp:wrapPolygon>
            </wp:wrapTight>
            <wp:docPr id="1" name="il_fi" descr="http://img4.cookinglight.com/i/2010/01/1001p70-sub-shop-m.jpg?3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4.cookinglight.com/i/2010/01/1001p70-sub-shop-m.jpg?300:300"/>
                    <pic:cNvPicPr>
                      <a:picLocks noChangeAspect="1" noChangeArrowheads="1"/>
                    </pic:cNvPicPr>
                  </pic:nvPicPr>
                  <pic:blipFill>
                    <a:blip r:embed="rId7"/>
                    <a:srcRect/>
                    <a:stretch>
                      <a:fillRect/>
                    </a:stretch>
                  </pic:blipFill>
                  <pic:spPr bwMode="auto">
                    <a:xfrm>
                      <a:off x="0" y="0"/>
                      <a:ext cx="1845310" cy="1841500"/>
                    </a:xfrm>
                    <a:prstGeom prst="rect">
                      <a:avLst/>
                    </a:prstGeom>
                    <a:noFill/>
                    <a:ln w="9525">
                      <a:noFill/>
                      <a:miter lim="800000"/>
                      <a:headEnd/>
                      <a:tailEnd/>
                    </a:ln>
                  </pic:spPr>
                </pic:pic>
              </a:graphicData>
            </a:graphic>
          </wp:anchor>
        </w:drawing>
      </w:r>
    </w:p>
    <w:p w:rsidR="00040CEF" w:rsidRDefault="00DD1CEA" w:rsidP="00B03054">
      <w:pPr>
        <w:jc w:val="center"/>
      </w:pPr>
      <w:r>
        <w:rPr>
          <w:noProof/>
        </w:rPr>
        <w:pict>
          <v:shape id="_x0000_s1030" type="#_x0000_t202" style="position:absolute;left:0;text-align:left;margin-left:-11.3pt;margin-top:11.6pt;width:560.3pt;height:173pt;z-index:251650048" stroked="f">
            <v:textbox style="mso-next-textbox:#_x0000_s1030">
              <w:txbxContent>
                <w:p w:rsidR="00040CEF" w:rsidRPr="00D363F0" w:rsidRDefault="005A7C02" w:rsidP="0004407D">
                  <w:pPr>
                    <w:rPr>
                      <w:rFonts w:ascii="Tahoma" w:hAnsi="Tahoma" w:cs="Tahoma"/>
                      <w:sz w:val="28"/>
                      <w:szCs w:val="28"/>
                    </w:rPr>
                  </w:pPr>
                  <w:r>
                    <w:rPr>
                      <w:rFonts w:ascii="Tahoma" w:hAnsi="Tahoma" w:cs="Tahoma"/>
                      <w:sz w:val="28"/>
                      <w:szCs w:val="28"/>
                    </w:rPr>
                    <w:t>Two friends want to share 1 and ¾ submarine sandwiches so that each gets the same amount.  How much should each friend get?</w:t>
                  </w:r>
                </w:p>
                <w:p w:rsidR="00040CEF" w:rsidRPr="00643A66" w:rsidRDefault="00040CEF" w:rsidP="008262DC">
                  <w:pPr>
                    <w:rPr>
                      <w:rFonts w:ascii="Tahoma" w:hAnsi="Tahoma" w:cs="Tahoma"/>
                      <w:sz w:val="20"/>
                      <w:szCs w:val="20"/>
                    </w:rPr>
                  </w:pPr>
                </w:p>
                <w:p w:rsidR="00040CEF" w:rsidRPr="00D363F0" w:rsidRDefault="00040CEF" w:rsidP="00B03054">
                  <w:pPr>
                    <w:jc w:val="center"/>
                    <w:rPr>
                      <w:rFonts w:ascii="Tahoma" w:hAnsi="Tahoma" w:cs="Tahoma"/>
                      <w:sz w:val="16"/>
                      <w:szCs w:val="16"/>
                    </w:rPr>
                  </w:pPr>
                </w:p>
                <w:p w:rsidR="00040CEF" w:rsidRPr="00D363F0" w:rsidRDefault="00040CEF" w:rsidP="00B03054">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040CEF" w:rsidRDefault="00040CEF" w:rsidP="00B03054">
      <w:pPr>
        <w:jc w:val="center"/>
      </w:pPr>
    </w:p>
    <w:p w:rsidR="00040CEF" w:rsidRDefault="00040CEF" w:rsidP="00B03054">
      <w:pPr>
        <w:jc w:val="center"/>
      </w:pPr>
    </w:p>
    <w:p w:rsidR="00040CEF" w:rsidRDefault="00040CEF" w:rsidP="00350228"/>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r>
        <w:t xml:space="preserve">                                                    </w:t>
      </w: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5D3C94"/>
    <w:p w:rsidR="005D3C94" w:rsidRDefault="005D3C94" w:rsidP="005D3C94"/>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DD1CEA" w:rsidP="00B03054">
      <w:pPr>
        <w:jc w:val="center"/>
      </w:pPr>
      <w:r>
        <w:rPr>
          <w:noProof/>
        </w:rPr>
        <w:pict>
          <v:shape id="_x0000_s1035" type="#_x0000_t136" style="position:absolute;left:0;text-align:left;margin-left:14pt;margin-top:4.4pt;width:650pt;height:40pt;z-index:-251662336" wrapcoords="199 0 50 1630 -25 3668 -25 16709 2192 19562 4709 19562 4808 21192 4833 21192 5307 21192 5331 21192 5456 19562 15073 19562 21625 17117 21600 4075 19657 0 18361 0 199 0">
            <v:shadow color="#868686"/>
            <v:textpath style="font-family:&quot;Arial Black&quot;;v-text-kern:t" trim="t" fitpath="t" string="Sharing Subs - Teacher Notes"/>
            <w10:wrap type="tight"/>
          </v:shape>
        </w:pict>
      </w:r>
    </w:p>
    <w:p w:rsidR="00040CEF" w:rsidRDefault="00040CEF" w:rsidP="00B03054">
      <w:pPr>
        <w:jc w:val="center"/>
      </w:pPr>
    </w:p>
    <w:p w:rsidR="00040CEF" w:rsidRDefault="00040CEF" w:rsidP="00B03054">
      <w:pPr>
        <w:jc w:val="center"/>
      </w:pPr>
    </w:p>
    <w:p w:rsidR="00040CEF" w:rsidRPr="00C00D0C" w:rsidRDefault="00040CEF" w:rsidP="00B03054">
      <w:pPr>
        <w:jc w:val="center"/>
      </w:pPr>
    </w:p>
    <w:p w:rsidR="00040CEF" w:rsidRPr="00C00D0C" w:rsidRDefault="00040CEF" w:rsidP="00B03054">
      <w:pPr>
        <w:jc w:val="center"/>
      </w:pPr>
    </w:p>
    <w:p w:rsidR="00040CEF" w:rsidRDefault="00040CEF" w:rsidP="00C00D0C">
      <w:pPr>
        <w:pStyle w:val="ListParagraph"/>
        <w:numPr>
          <w:ilvl w:val="0"/>
          <w:numId w:val="2"/>
        </w:numPr>
        <w:rPr>
          <w:rFonts w:ascii="Tahoma" w:hAnsi="Tahoma" w:cs="Tahoma"/>
        </w:rPr>
      </w:pPr>
      <w:r>
        <w:rPr>
          <w:rFonts w:ascii="Tahoma" w:hAnsi="Tahoma" w:cs="Tahoma"/>
        </w:rPr>
        <w:t>What standards does this lesson address?</w:t>
      </w:r>
    </w:p>
    <w:p w:rsidR="00040CEF" w:rsidRPr="00BB2172" w:rsidRDefault="00040CEF" w:rsidP="00AE7DFB">
      <w:pPr>
        <w:pStyle w:val="ListParagraph"/>
        <w:numPr>
          <w:ilvl w:val="1"/>
          <w:numId w:val="2"/>
        </w:numPr>
        <w:rPr>
          <w:rFonts w:ascii="Tahoma" w:hAnsi="Tahoma" w:cs="Tahoma"/>
        </w:rPr>
      </w:pPr>
      <w:r>
        <w:rPr>
          <w:rFonts w:ascii="Tahoma" w:hAnsi="Tahoma" w:cs="Tahoma"/>
        </w:rPr>
        <w:t xml:space="preserve"> </w:t>
      </w:r>
      <w:r w:rsidRPr="00C00D0C">
        <w:rPr>
          <w:rFonts w:ascii="Tahoma" w:hAnsi="Tahoma" w:cs="Tahoma"/>
        </w:rPr>
        <w:t xml:space="preserve">5.NF.1 Add and subtract fractions with unlike denominators (including mixed numbers) by replacing given fractions with equivalent fractions in such a way as to produce an equivalent sum or difference of fractions with like denominators. </w:t>
      </w:r>
      <w:r w:rsidRPr="00C00D0C">
        <w:rPr>
          <w:rFonts w:ascii="Tahoma" w:hAnsi="Tahoma" w:cs="Tahoma"/>
          <w:i/>
          <w:iCs/>
        </w:rPr>
        <w:t xml:space="preserve">For example, 2/3 + 5/4 = 8/12 + 15/12 = 23/12. (In general, a/b + </w:t>
      </w:r>
      <w:proofErr w:type="gramStart"/>
      <w:r w:rsidRPr="00C00D0C">
        <w:rPr>
          <w:rFonts w:ascii="Tahoma" w:hAnsi="Tahoma" w:cs="Tahoma"/>
          <w:i/>
          <w:iCs/>
        </w:rPr>
        <w:t>c/d</w:t>
      </w:r>
      <w:proofErr w:type="gramEnd"/>
      <w:r w:rsidRPr="00C00D0C">
        <w:rPr>
          <w:rFonts w:ascii="Tahoma" w:hAnsi="Tahoma" w:cs="Tahoma"/>
          <w:i/>
          <w:iCs/>
        </w:rPr>
        <w:t xml:space="preserve"> = (ad + </w:t>
      </w:r>
      <w:proofErr w:type="spellStart"/>
      <w:r w:rsidRPr="00C00D0C">
        <w:rPr>
          <w:rFonts w:ascii="Tahoma" w:hAnsi="Tahoma" w:cs="Tahoma"/>
          <w:i/>
          <w:iCs/>
        </w:rPr>
        <w:t>bc</w:t>
      </w:r>
      <w:proofErr w:type="spellEnd"/>
      <w:r w:rsidRPr="00C00D0C">
        <w:rPr>
          <w:rFonts w:ascii="Tahoma" w:hAnsi="Tahoma" w:cs="Tahoma"/>
          <w:i/>
          <w:iCs/>
        </w:rPr>
        <w:t>)/bd.)</w:t>
      </w:r>
    </w:p>
    <w:p w:rsidR="00040CEF" w:rsidRPr="00C00D0C" w:rsidRDefault="005D3C94" w:rsidP="00BB2172">
      <w:pPr>
        <w:pStyle w:val="ListParagraph"/>
        <w:numPr>
          <w:ilvl w:val="1"/>
          <w:numId w:val="2"/>
        </w:numPr>
        <w:rPr>
          <w:rFonts w:ascii="Tahoma" w:hAnsi="Tahoma" w:cs="Tahoma"/>
        </w:rPr>
      </w:pPr>
      <w:r>
        <w:rPr>
          <w:rFonts w:ascii="Tahoma" w:hAnsi="Tahoma" w:cs="Tahoma"/>
        </w:rPr>
        <w:t xml:space="preserve">For student strategies, classroom discussion example, and teacher questions on this exact problem turn to page 181 </w:t>
      </w:r>
      <w:r w:rsidR="00040CEF">
        <w:rPr>
          <w:rFonts w:ascii="Tahoma" w:hAnsi="Tahoma" w:cs="Tahoma"/>
        </w:rPr>
        <w:t xml:space="preserve">in your book Extending Children’s Mathematics: Fractions and Decimals by </w:t>
      </w:r>
      <w:proofErr w:type="spellStart"/>
      <w:r w:rsidR="00040CEF">
        <w:rPr>
          <w:rFonts w:ascii="Tahoma" w:hAnsi="Tahoma" w:cs="Tahoma"/>
        </w:rPr>
        <w:t>Empson</w:t>
      </w:r>
      <w:proofErr w:type="spellEnd"/>
      <w:r w:rsidR="00040CEF">
        <w:rPr>
          <w:rFonts w:ascii="Tahoma" w:hAnsi="Tahoma" w:cs="Tahoma"/>
        </w:rPr>
        <w:t xml:space="preserve"> and Levi.</w:t>
      </w:r>
    </w:p>
    <w:p w:rsidR="00040CEF" w:rsidRPr="00C00D0C" w:rsidRDefault="00040CEF" w:rsidP="00C00D0C">
      <w:pPr>
        <w:rPr>
          <w:rFonts w:ascii="Tahoma" w:hAnsi="Tahoma" w:cs="Tahoma"/>
        </w:rPr>
      </w:pPr>
    </w:p>
    <w:p w:rsidR="00040CEF" w:rsidRPr="00C00D0C" w:rsidRDefault="00040CEF" w:rsidP="00C00D0C">
      <w:pPr>
        <w:pStyle w:val="ListParagraph"/>
        <w:numPr>
          <w:ilvl w:val="0"/>
          <w:numId w:val="2"/>
        </w:numPr>
      </w:pPr>
      <w:r>
        <w:rPr>
          <w:rFonts w:ascii="Tahoma" w:hAnsi="Tahoma" w:cs="Tahoma"/>
        </w:rPr>
        <w:t>W</w:t>
      </w:r>
      <w:r w:rsidRPr="00C00D0C">
        <w:rPr>
          <w:rFonts w:ascii="Tahoma" w:hAnsi="Tahoma" w:cs="Tahoma"/>
        </w:rPr>
        <w:t>h</w:t>
      </w:r>
      <w:r>
        <w:rPr>
          <w:rFonts w:ascii="Tahoma" w:hAnsi="Tahoma" w:cs="Tahoma"/>
        </w:rPr>
        <w:t xml:space="preserve">y were these </w:t>
      </w:r>
      <w:proofErr w:type="gramStart"/>
      <w:r>
        <w:rPr>
          <w:rFonts w:ascii="Tahoma" w:hAnsi="Tahoma" w:cs="Tahoma"/>
        </w:rPr>
        <w:t>number</w:t>
      </w:r>
      <w:proofErr w:type="gramEnd"/>
      <w:r>
        <w:rPr>
          <w:rFonts w:ascii="Tahoma" w:hAnsi="Tahoma" w:cs="Tahoma"/>
        </w:rPr>
        <w:t xml:space="preserve"> sets chosen for this problem?</w:t>
      </w:r>
    </w:p>
    <w:p w:rsidR="00040CEF" w:rsidRPr="00C730A3" w:rsidRDefault="00040CEF" w:rsidP="005D3C94">
      <w:pPr>
        <w:pStyle w:val="ListParagraph"/>
        <w:numPr>
          <w:ilvl w:val="1"/>
          <w:numId w:val="2"/>
        </w:numPr>
      </w:pPr>
      <w:r>
        <w:rPr>
          <w:rFonts w:ascii="Tahoma" w:hAnsi="Tahoma" w:cs="Tahoma"/>
        </w:rPr>
        <w:t xml:space="preserve">The number set for the </w:t>
      </w:r>
      <w:r w:rsidR="005D3C94">
        <w:rPr>
          <w:rFonts w:ascii="Tahoma" w:hAnsi="Tahoma" w:cs="Tahoma"/>
        </w:rPr>
        <w:t>Sharing Subs problem will create a need for students to replace 2 of 3 fractions with equivalent fractions in order to add all of the pieces together.  This number set also allows for students to use halves, fourths, and eighths which are typically easy for them to reason about size and equivalence.</w:t>
      </w:r>
    </w:p>
    <w:p w:rsidR="00040CEF" w:rsidRPr="00C00D0C" w:rsidRDefault="00040CEF" w:rsidP="00C730A3"/>
    <w:p w:rsidR="00040CEF" w:rsidRPr="004771F7" w:rsidRDefault="00040CEF" w:rsidP="00C730A3">
      <w:pPr>
        <w:pStyle w:val="ListParagraph"/>
        <w:numPr>
          <w:ilvl w:val="0"/>
          <w:numId w:val="3"/>
        </w:numPr>
      </w:pPr>
      <w:r>
        <w:rPr>
          <w:rFonts w:ascii="Tahoma" w:hAnsi="Tahoma" w:cs="Tahoma"/>
        </w:rPr>
        <w:t xml:space="preserve">What are some </w:t>
      </w:r>
      <w:r w:rsidRPr="00C730A3">
        <w:rPr>
          <w:rFonts w:ascii="Tahoma" w:hAnsi="Tahoma" w:cs="Tahoma"/>
        </w:rPr>
        <w:t>expected student strategies</w:t>
      </w:r>
      <w:r>
        <w:rPr>
          <w:rFonts w:ascii="Tahoma" w:hAnsi="Tahoma" w:cs="Tahoma"/>
        </w:rPr>
        <w:t xml:space="preserve"> and misconceptions?  How can I address these strategies and misconceptions in our class discussion?</w:t>
      </w:r>
    </w:p>
    <w:p w:rsidR="004771F7" w:rsidRPr="00C730A3" w:rsidRDefault="004771F7" w:rsidP="004771F7"/>
    <w:p w:rsidR="00040CEF" w:rsidRPr="00B20DC1" w:rsidRDefault="00040CEF" w:rsidP="00B20DC1">
      <w:pPr>
        <w:pStyle w:val="ListParagraph"/>
        <w:rPr>
          <w:rFonts w:ascii="Tahoma" w:hAnsi="Tahoma" w:cs="Tahoma"/>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7"/>
        <w:gridCol w:w="5204"/>
        <w:gridCol w:w="7705"/>
      </w:tblGrid>
      <w:tr w:rsidR="002C0E80" w:rsidTr="004771F7">
        <w:trPr>
          <w:trHeight w:val="386"/>
        </w:trPr>
        <w:tc>
          <w:tcPr>
            <w:tcW w:w="1707" w:type="dxa"/>
          </w:tcPr>
          <w:p w:rsidR="00040CEF" w:rsidRPr="00767A81" w:rsidRDefault="00040CEF" w:rsidP="004771F7">
            <w:pPr>
              <w:jc w:val="center"/>
              <w:rPr>
                <w:rFonts w:ascii="Tahoma" w:hAnsi="Tahoma" w:cs="Tahoma"/>
              </w:rPr>
            </w:pPr>
            <w:r w:rsidRPr="00767A81">
              <w:rPr>
                <w:rFonts w:ascii="Tahoma" w:hAnsi="Tahoma" w:cs="Tahoma"/>
              </w:rPr>
              <w:t>Number Set</w:t>
            </w:r>
          </w:p>
        </w:tc>
        <w:tc>
          <w:tcPr>
            <w:tcW w:w="5204" w:type="dxa"/>
          </w:tcPr>
          <w:p w:rsidR="00040CEF" w:rsidRPr="00767A81" w:rsidRDefault="00040CEF" w:rsidP="004771F7">
            <w:pPr>
              <w:jc w:val="center"/>
              <w:rPr>
                <w:rFonts w:ascii="Tahoma" w:hAnsi="Tahoma" w:cs="Tahoma"/>
              </w:rPr>
            </w:pPr>
            <w:r w:rsidRPr="00767A81">
              <w:rPr>
                <w:rFonts w:ascii="Tahoma" w:hAnsi="Tahoma" w:cs="Tahoma"/>
              </w:rPr>
              <w:t>Possible Student Strategies and Misconceptions</w:t>
            </w:r>
          </w:p>
        </w:tc>
        <w:tc>
          <w:tcPr>
            <w:tcW w:w="7705" w:type="dxa"/>
          </w:tcPr>
          <w:p w:rsidR="00040CEF" w:rsidRPr="00767A81" w:rsidRDefault="00040CEF" w:rsidP="004771F7">
            <w:pPr>
              <w:jc w:val="center"/>
              <w:rPr>
                <w:rFonts w:ascii="Tahoma" w:hAnsi="Tahoma" w:cs="Tahoma"/>
              </w:rPr>
            </w:pPr>
            <w:r w:rsidRPr="00767A81">
              <w:rPr>
                <w:rFonts w:ascii="Tahoma" w:hAnsi="Tahoma" w:cs="Tahoma"/>
              </w:rPr>
              <w:t>Possible Ways to Address Strategies and Misconceptions in Class Discussion</w:t>
            </w:r>
          </w:p>
        </w:tc>
      </w:tr>
      <w:tr w:rsidR="005D3C94" w:rsidTr="00CD4045">
        <w:trPr>
          <w:trHeight w:val="431"/>
        </w:trPr>
        <w:tc>
          <w:tcPr>
            <w:tcW w:w="1707" w:type="dxa"/>
          </w:tcPr>
          <w:p w:rsidR="005D3C94" w:rsidRPr="00767A81" w:rsidRDefault="005D3C94" w:rsidP="004771F7">
            <w:pPr>
              <w:rPr>
                <w:rFonts w:ascii="Tahoma" w:hAnsi="Tahoma" w:cs="Tahoma"/>
              </w:rPr>
            </w:pPr>
          </w:p>
          <w:p w:rsidR="005D3C94" w:rsidRPr="00767A81" w:rsidRDefault="005D3C94" w:rsidP="004771F7">
            <w:pPr>
              <w:rPr>
                <w:rFonts w:ascii="Tahoma" w:hAnsi="Tahoma" w:cs="Tahoma"/>
              </w:rPr>
            </w:pPr>
          </w:p>
          <w:p w:rsidR="005D3C94" w:rsidRPr="00767A81" w:rsidRDefault="005D3C94" w:rsidP="004771F7">
            <w:pPr>
              <w:rPr>
                <w:rFonts w:ascii="Tahoma" w:hAnsi="Tahoma" w:cs="Tahoma"/>
              </w:rPr>
            </w:pPr>
            <w:r>
              <w:rPr>
                <w:rFonts w:ascii="Tahoma" w:hAnsi="Tahoma" w:cs="Tahoma"/>
              </w:rPr>
              <w:t>Sub Sharing</w:t>
            </w:r>
          </w:p>
          <w:p w:rsidR="005D3C94" w:rsidRPr="00767A81" w:rsidRDefault="005D3C94" w:rsidP="004771F7">
            <w:pPr>
              <w:rPr>
                <w:rFonts w:ascii="Tahoma" w:hAnsi="Tahoma" w:cs="Tahoma"/>
              </w:rPr>
            </w:pPr>
          </w:p>
        </w:tc>
        <w:tc>
          <w:tcPr>
            <w:tcW w:w="12909" w:type="dxa"/>
            <w:gridSpan w:val="2"/>
          </w:tcPr>
          <w:p w:rsidR="005D3C94" w:rsidRDefault="005D3C94" w:rsidP="004771F7">
            <w:pPr>
              <w:rPr>
                <w:rFonts w:ascii="Tahoma" w:hAnsi="Tahoma" w:cs="Tahoma"/>
              </w:rPr>
            </w:pPr>
          </w:p>
          <w:p w:rsidR="005D3C94" w:rsidRPr="00697725" w:rsidRDefault="005D3C94" w:rsidP="004771F7">
            <w:pPr>
              <w:rPr>
                <w:rFonts w:ascii="Tahoma" w:hAnsi="Tahoma" w:cs="Tahoma"/>
              </w:rPr>
            </w:pPr>
            <w:r>
              <w:rPr>
                <w:rFonts w:ascii="Tahoma" w:hAnsi="Tahoma" w:cs="Tahoma"/>
              </w:rPr>
              <w:t xml:space="preserve">Turn to page 181 in Extending Children’s Mathematics: Fractions and Decimals by </w:t>
            </w:r>
            <w:proofErr w:type="spellStart"/>
            <w:r>
              <w:rPr>
                <w:rFonts w:ascii="Tahoma" w:hAnsi="Tahoma" w:cs="Tahoma"/>
              </w:rPr>
              <w:t>Empson</w:t>
            </w:r>
            <w:proofErr w:type="spellEnd"/>
            <w:r>
              <w:rPr>
                <w:rFonts w:ascii="Tahoma" w:hAnsi="Tahoma" w:cs="Tahoma"/>
              </w:rPr>
              <w:t xml:space="preserve"> and Levi</w:t>
            </w:r>
          </w:p>
          <w:p w:rsidR="005D3C94" w:rsidRPr="00767A81" w:rsidRDefault="005D3C94" w:rsidP="004771F7">
            <w:pPr>
              <w:rPr>
                <w:rFonts w:ascii="Tahoma" w:hAnsi="Tahoma" w:cs="Tahoma"/>
                <w:noProof/>
              </w:rPr>
            </w:pPr>
            <w:r>
              <w:rPr>
                <w:rFonts w:ascii="Tahoma" w:hAnsi="Tahoma" w:cs="Tahoma"/>
                <w:noProof/>
              </w:rPr>
              <w:t xml:space="preserve"> </w:t>
            </w:r>
          </w:p>
        </w:tc>
      </w:tr>
    </w:tbl>
    <w:p w:rsidR="005D3C94" w:rsidRPr="00B03054" w:rsidRDefault="005D3C94"/>
    <w:sectPr w:rsidR="005D3C94" w:rsidRPr="00B03054" w:rsidSect="00B03054">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CEF" w:rsidRDefault="00040CEF" w:rsidP="00BD7F3B">
      <w:r>
        <w:separator/>
      </w:r>
    </w:p>
  </w:endnote>
  <w:endnote w:type="continuationSeparator" w:id="0">
    <w:p w:rsidR="00040CEF" w:rsidRDefault="00040CEF"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EF" w:rsidRPr="00396836" w:rsidRDefault="00040CEF" w:rsidP="00767A81">
    <w:pPr>
      <w:pStyle w:val="Footer"/>
      <w:tabs>
        <w:tab w:val="clear" w:pos="4680"/>
        <w:tab w:val="clear" w:pos="9360"/>
        <w:tab w:val="center" w:pos="7200"/>
        <w:tab w:val="right" w:pos="14400"/>
      </w:tabs>
      <w:rPr>
        <w:rFonts w:asciiTheme="minorHAnsi" w:hAnsiTheme="minorHAnsi"/>
      </w:rPr>
    </w:pPr>
    <w:r w:rsidRPr="00396836">
      <w:rPr>
        <w:rFonts w:asciiTheme="minorHAnsi" w:hAnsiTheme="minorHAnsi"/>
      </w:rPr>
      <w:t>4/</w:t>
    </w:r>
    <w:r w:rsidR="00396836">
      <w:rPr>
        <w:rFonts w:asciiTheme="minorHAnsi" w:hAnsiTheme="minorHAnsi"/>
      </w:rPr>
      <w:t>13</w:t>
    </w:r>
    <w:r w:rsidRPr="00396836">
      <w:rPr>
        <w:rFonts w:asciiTheme="minorHAnsi" w:hAnsiTheme="minorHAnsi"/>
      </w:rPr>
      <w:t>/12</w:t>
    </w:r>
    <w:r w:rsidRPr="00396836">
      <w:rPr>
        <w:rFonts w:asciiTheme="minorHAnsi" w:hAnsiTheme="minorHAnsi"/>
      </w:rPr>
      <w:tab/>
    </w:r>
    <w:r w:rsidR="00DD1CEA" w:rsidRPr="00396836">
      <w:rPr>
        <w:rStyle w:val="PageNumber"/>
        <w:rFonts w:asciiTheme="minorHAnsi" w:hAnsiTheme="minorHAnsi"/>
      </w:rPr>
      <w:fldChar w:fldCharType="begin"/>
    </w:r>
    <w:r w:rsidRPr="00396836">
      <w:rPr>
        <w:rStyle w:val="PageNumber"/>
        <w:rFonts w:asciiTheme="minorHAnsi" w:hAnsiTheme="minorHAnsi"/>
      </w:rPr>
      <w:instrText xml:space="preserve"> PAGE </w:instrText>
    </w:r>
    <w:r w:rsidR="00DD1CEA" w:rsidRPr="00396836">
      <w:rPr>
        <w:rStyle w:val="PageNumber"/>
        <w:rFonts w:asciiTheme="minorHAnsi" w:hAnsiTheme="minorHAnsi"/>
      </w:rPr>
      <w:fldChar w:fldCharType="separate"/>
    </w:r>
    <w:r w:rsidR="00107638">
      <w:rPr>
        <w:rStyle w:val="PageNumber"/>
        <w:rFonts w:asciiTheme="minorHAnsi" w:hAnsiTheme="minorHAnsi"/>
        <w:noProof/>
      </w:rPr>
      <w:t>1</w:t>
    </w:r>
    <w:r w:rsidR="00DD1CEA" w:rsidRPr="00396836">
      <w:rPr>
        <w:rStyle w:val="PageNumber"/>
        <w:rFonts w:asciiTheme="minorHAnsi" w:hAnsiTheme="minorHAnsi"/>
      </w:rPr>
      <w:fldChar w:fldCharType="end"/>
    </w:r>
    <w:r w:rsidRPr="00396836">
      <w:rPr>
        <w:rFonts w:asciiTheme="minorHAnsi" w:hAnsiTheme="minorHAnsi"/>
      </w:rP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CEF" w:rsidRDefault="00040CEF" w:rsidP="00BD7F3B">
      <w:r>
        <w:separator/>
      </w:r>
    </w:p>
  </w:footnote>
  <w:footnote w:type="continuationSeparator" w:id="0">
    <w:p w:rsidR="00040CEF" w:rsidRDefault="00040CEF"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EF" w:rsidRPr="00396836" w:rsidRDefault="00040CEF" w:rsidP="00767A81">
    <w:pPr>
      <w:pStyle w:val="Header"/>
      <w:tabs>
        <w:tab w:val="clear" w:pos="4680"/>
        <w:tab w:val="clear" w:pos="9360"/>
        <w:tab w:val="center" w:pos="7200"/>
        <w:tab w:val="right" w:pos="14400"/>
      </w:tabs>
      <w:rPr>
        <w:rFonts w:asciiTheme="minorHAnsi" w:hAnsiTheme="minorHAnsi"/>
      </w:rPr>
    </w:pPr>
    <w:r w:rsidRPr="00396836">
      <w:rPr>
        <w:rFonts w:asciiTheme="minorHAnsi" w:hAnsiTheme="minorHAnsi"/>
      </w:rPr>
      <w:t>5</w:t>
    </w:r>
    <w:r w:rsidRPr="00396836">
      <w:rPr>
        <w:rFonts w:asciiTheme="minorHAnsi" w:hAnsiTheme="minorHAnsi"/>
        <w:vertAlign w:val="superscript"/>
      </w:rPr>
      <w:t>th</w:t>
    </w:r>
    <w:r w:rsidRPr="00396836">
      <w:rPr>
        <w:rFonts w:asciiTheme="minorHAnsi" w:hAnsiTheme="minorHAnsi"/>
      </w:rPr>
      <w:t xml:space="preserve"> Grade</w:t>
    </w:r>
    <w:r w:rsidRPr="00396836">
      <w:rPr>
        <w:rFonts w:asciiTheme="minorHAnsi" w:hAnsiTheme="minorHAnsi"/>
      </w:rPr>
      <w:tab/>
    </w:r>
    <w:r w:rsidRPr="00396836">
      <w:rPr>
        <w:rFonts w:asciiTheme="minorHAnsi" w:hAnsiTheme="minorHAnsi"/>
        <w:sz w:val="20"/>
      </w:rPr>
      <w:t xml:space="preserve">Adapted from Extending Children’s Mathematics: Fractions and Decimals by </w:t>
    </w:r>
    <w:proofErr w:type="spellStart"/>
    <w:r w:rsidRPr="00396836">
      <w:rPr>
        <w:rFonts w:asciiTheme="minorHAnsi" w:hAnsiTheme="minorHAnsi"/>
        <w:sz w:val="20"/>
      </w:rPr>
      <w:t>Empson</w:t>
    </w:r>
    <w:proofErr w:type="spellEnd"/>
    <w:r w:rsidRPr="00396836">
      <w:rPr>
        <w:rFonts w:asciiTheme="minorHAnsi" w:hAnsiTheme="minorHAnsi"/>
        <w:sz w:val="20"/>
      </w:rPr>
      <w:t xml:space="preserve"> and Levi</w:t>
    </w:r>
    <w:r w:rsidRPr="00396836">
      <w:rPr>
        <w:rFonts w:asciiTheme="minorHAnsi" w:hAnsiTheme="minorHAnsi"/>
      </w:rPr>
      <w:tab/>
    </w:r>
    <w:r w:rsidR="00107638">
      <w:rPr>
        <w:rFonts w:asciiTheme="minorHAnsi" w:hAnsiTheme="minorHAnsi"/>
      </w:rPr>
      <w:t>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10A31"/>
    <w:rsid w:val="00040CEF"/>
    <w:rsid w:val="0004407D"/>
    <w:rsid w:val="000657BE"/>
    <w:rsid w:val="000C248C"/>
    <w:rsid w:val="00107638"/>
    <w:rsid w:val="00110358"/>
    <w:rsid w:val="0012255E"/>
    <w:rsid w:val="00191023"/>
    <w:rsid w:val="001A53A9"/>
    <w:rsid w:val="001D060B"/>
    <w:rsid w:val="001E1764"/>
    <w:rsid w:val="00237085"/>
    <w:rsid w:val="00240F58"/>
    <w:rsid w:val="00264827"/>
    <w:rsid w:val="002A592D"/>
    <w:rsid w:val="002C0E80"/>
    <w:rsid w:val="002C48AF"/>
    <w:rsid w:val="002D74CB"/>
    <w:rsid w:val="0031112E"/>
    <w:rsid w:val="00350228"/>
    <w:rsid w:val="00351B1D"/>
    <w:rsid w:val="003527F7"/>
    <w:rsid w:val="00396836"/>
    <w:rsid w:val="003D0803"/>
    <w:rsid w:val="003E52DD"/>
    <w:rsid w:val="003F1693"/>
    <w:rsid w:val="00402813"/>
    <w:rsid w:val="00424124"/>
    <w:rsid w:val="004771F7"/>
    <w:rsid w:val="0048765E"/>
    <w:rsid w:val="0052102E"/>
    <w:rsid w:val="005234E5"/>
    <w:rsid w:val="00526932"/>
    <w:rsid w:val="00541758"/>
    <w:rsid w:val="005425CC"/>
    <w:rsid w:val="00567657"/>
    <w:rsid w:val="00593F77"/>
    <w:rsid w:val="005A7C02"/>
    <w:rsid w:val="005D3C94"/>
    <w:rsid w:val="00616934"/>
    <w:rsid w:val="00623262"/>
    <w:rsid w:val="00643A66"/>
    <w:rsid w:val="006463BA"/>
    <w:rsid w:val="00657644"/>
    <w:rsid w:val="006744C2"/>
    <w:rsid w:val="00682F30"/>
    <w:rsid w:val="0068713B"/>
    <w:rsid w:val="00697725"/>
    <w:rsid w:val="006A24BB"/>
    <w:rsid w:val="006C6E14"/>
    <w:rsid w:val="007229DF"/>
    <w:rsid w:val="00767A81"/>
    <w:rsid w:val="00775587"/>
    <w:rsid w:val="007A13FD"/>
    <w:rsid w:val="007C0DBD"/>
    <w:rsid w:val="007D4F23"/>
    <w:rsid w:val="00814908"/>
    <w:rsid w:val="008262DC"/>
    <w:rsid w:val="0082660F"/>
    <w:rsid w:val="00837FB0"/>
    <w:rsid w:val="00855726"/>
    <w:rsid w:val="0087239F"/>
    <w:rsid w:val="008943D7"/>
    <w:rsid w:val="008D40D2"/>
    <w:rsid w:val="00911FAE"/>
    <w:rsid w:val="00936F0A"/>
    <w:rsid w:val="009E1BDA"/>
    <w:rsid w:val="009E4A0F"/>
    <w:rsid w:val="009E69B9"/>
    <w:rsid w:val="009F58BD"/>
    <w:rsid w:val="00A66E0C"/>
    <w:rsid w:val="00A70A19"/>
    <w:rsid w:val="00A827BF"/>
    <w:rsid w:val="00AB4458"/>
    <w:rsid w:val="00AC28B9"/>
    <w:rsid w:val="00AE7DFB"/>
    <w:rsid w:val="00B03054"/>
    <w:rsid w:val="00B20DC1"/>
    <w:rsid w:val="00B43546"/>
    <w:rsid w:val="00BA1BAC"/>
    <w:rsid w:val="00BA2B65"/>
    <w:rsid w:val="00BA76F9"/>
    <w:rsid w:val="00BA796D"/>
    <w:rsid w:val="00BB2172"/>
    <w:rsid w:val="00BB2F87"/>
    <w:rsid w:val="00BB5B52"/>
    <w:rsid w:val="00BD6874"/>
    <w:rsid w:val="00BD7F3B"/>
    <w:rsid w:val="00BE6E67"/>
    <w:rsid w:val="00C00D0C"/>
    <w:rsid w:val="00C055D6"/>
    <w:rsid w:val="00C653BB"/>
    <w:rsid w:val="00C730A3"/>
    <w:rsid w:val="00CA5550"/>
    <w:rsid w:val="00CA585E"/>
    <w:rsid w:val="00CC3218"/>
    <w:rsid w:val="00CC6988"/>
    <w:rsid w:val="00CD77BB"/>
    <w:rsid w:val="00CF6A78"/>
    <w:rsid w:val="00D363F0"/>
    <w:rsid w:val="00D571DF"/>
    <w:rsid w:val="00DB63AE"/>
    <w:rsid w:val="00DC3E4D"/>
    <w:rsid w:val="00DD1CEA"/>
    <w:rsid w:val="00DE5334"/>
    <w:rsid w:val="00E105A4"/>
    <w:rsid w:val="00E30297"/>
    <w:rsid w:val="00E53340"/>
    <w:rsid w:val="00E95494"/>
    <w:rsid w:val="00EF68F3"/>
    <w:rsid w:val="00F10431"/>
    <w:rsid w:val="00F3405B"/>
    <w:rsid w:val="00F366E3"/>
    <w:rsid w:val="00F43386"/>
    <w:rsid w:val="00F876B7"/>
    <w:rsid w:val="00F96255"/>
    <w:rsid w:val="00FE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825821632">
      <w:marLeft w:val="0"/>
      <w:marRight w:val="0"/>
      <w:marTop w:val="0"/>
      <w:marBottom w:val="0"/>
      <w:divBdr>
        <w:top w:val="none" w:sz="0" w:space="0" w:color="auto"/>
        <w:left w:val="none" w:sz="0" w:space="0" w:color="auto"/>
        <w:bottom w:val="none" w:sz="0" w:space="0" w:color="auto"/>
        <w:right w:val="none" w:sz="0" w:space="0" w:color="auto"/>
      </w:divBdr>
      <w:divsChild>
        <w:div w:id="825821631">
          <w:marLeft w:val="0"/>
          <w:marRight w:val="0"/>
          <w:marTop w:val="0"/>
          <w:marBottom w:val="0"/>
          <w:divBdr>
            <w:top w:val="none" w:sz="0" w:space="0" w:color="auto"/>
            <w:left w:val="none" w:sz="0" w:space="0" w:color="auto"/>
            <w:bottom w:val="none" w:sz="0" w:space="0" w:color="auto"/>
            <w:right w:val="none" w:sz="0" w:space="0" w:color="auto"/>
          </w:divBdr>
        </w:div>
        <w:div w:id="825821633">
          <w:marLeft w:val="0"/>
          <w:marRight w:val="0"/>
          <w:marTop w:val="0"/>
          <w:marBottom w:val="0"/>
          <w:divBdr>
            <w:top w:val="none" w:sz="0" w:space="0" w:color="auto"/>
            <w:left w:val="none" w:sz="0" w:space="0" w:color="auto"/>
            <w:bottom w:val="none" w:sz="0" w:space="0" w:color="auto"/>
            <w:right w:val="none" w:sz="0" w:space="0" w:color="auto"/>
          </w:divBdr>
        </w:div>
        <w:div w:id="825821634">
          <w:marLeft w:val="0"/>
          <w:marRight w:val="0"/>
          <w:marTop w:val="0"/>
          <w:marBottom w:val="0"/>
          <w:divBdr>
            <w:top w:val="none" w:sz="0" w:space="0" w:color="auto"/>
            <w:left w:val="none" w:sz="0" w:space="0" w:color="auto"/>
            <w:bottom w:val="none" w:sz="0" w:space="0" w:color="auto"/>
            <w:right w:val="none" w:sz="0" w:space="0" w:color="auto"/>
          </w:divBdr>
        </w:div>
        <w:div w:id="82582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 User</cp:lastModifiedBy>
  <cp:revision>2</cp:revision>
  <cp:lastPrinted>2012-04-06T17:11:00Z</cp:lastPrinted>
  <dcterms:created xsi:type="dcterms:W3CDTF">2014-05-15T16:18:00Z</dcterms:created>
  <dcterms:modified xsi:type="dcterms:W3CDTF">2014-05-15T16:18:00Z</dcterms:modified>
</cp:coreProperties>
</file>