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242" w:rsidRPr="00D67242" w:rsidRDefault="00D67242" w:rsidP="00D67242">
      <w:pPr>
        <w:rPr>
          <w:b/>
        </w:rPr>
      </w:pPr>
      <w:r w:rsidRPr="00D67242">
        <w:rPr>
          <w:b/>
        </w:rPr>
        <w:t>Sugar Overload</w:t>
      </w:r>
    </w:p>
    <w:p w:rsidR="00D67242" w:rsidRDefault="00D67242" w:rsidP="00D67242">
      <w:pPr>
        <w:pStyle w:val="ListParagraph"/>
      </w:pPr>
    </w:p>
    <w:p w:rsidR="007F72BB" w:rsidRPr="007F72BB" w:rsidRDefault="007F72BB" w:rsidP="007F72BB">
      <w:pPr>
        <w:rPr>
          <w:b/>
          <w:u w:val="single"/>
        </w:rPr>
      </w:pPr>
      <w:r w:rsidRPr="007F72BB">
        <w:rPr>
          <w:b/>
          <w:u w:val="single"/>
        </w:rPr>
        <w:t>Standards</w:t>
      </w:r>
    </w:p>
    <w:p w:rsidR="00D67242" w:rsidRDefault="00D67242" w:rsidP="00D67242">
      <w:pPr>
        <w:pStyle w:val="ListParagraph"/>
        <w:numPr>
          <w:ilvl w:val="0"/>
          <w:numId w:val="1"/>
        </w:numPr>
      </w:pPr>
      <w:r>
        <w:t xml:space="preserve">By the end of the year, students will read and comprehend informational texts, including </w:t>
      </w:r>
    </w:p>
    <w:p w:rsidR="00D67242" w:rsidRDefault="00D67242" w:rsidP="00D67242">
      <w:proofErr w:type="gramStart"/>
      <w:r>
        <w:t>history/social</w:t>
      </w:r>
      <w:proofErr w:type="gramEnd"/>
      <w:r>
        <w:t xml:space="preserve"> studies, science, and technical texts, at the high end of the grades 2-3 text </w:t>
      </w:r>
    </w:p>
    <w:p w:rsidR="00D67242" w:rsidRDefault="00D67242" w:rsidP="00D67242">
      <w:proofErr w:type="gramStart"/>
      <w:r>
        <w:t>complexity</w:t>
      </w:r>
      <w:proofErr w:type="gramEnd"/>
      <w:r>
        <w:t xml:space="preserve"> band independently and proficiently. (RI.3.10)</w:t>
      </w:r>
    </w:p>
    <w:p w:rsidR="00D67242" w:rsidRDefault="00D67242" w:rsidP="00D67242">
      <w:pPr>
        <w:pStyle w:val="ListParagraph"/>
        <w:numPr>
          <w:ilvl w:val="0"/>
          <w:numId w:val="1"/>
        </w:numPr>
      </w:pPr>
      <w:r>
        <w:t xml:space="preserve">Students will write opinion pieces on topics or texts, supporting a point of view with </w:t>
      </w:r>
    </w:p>
    <w:p w:rsidR="00D67242" w:rsidRDefault="00D67242" w:rsidP="00D67242">
      <w:proofErr w:type="gramStart"/>
      <w:r>
        <w:t>reasons</w:t>
      </w:r>
      <w:proofErr w:type="gramEnd"/>
      <w:r>
        <w:t>. (W.3.1)</w:t>
      </w:r>
    </w:p>
    <w:p w:rsidR="00D67242" w:rsidRDefault="00D67242"/>
    <w:p w:rsidR="00D67242" w:rsidRDefault="00D67242"/>
    <w:p w:rsidR="00D67242" w:rsidRPr="007F72BB" w:rsidRDefault="007F72BB" w:rsidP="00D67242">
      <w:pPr>
        <w:rPr>
          <w:b/>
          <w:u w:val="single"/>
        </w:rPr>
      </w:pPr>
      <w:r w:rsidRPr="007F72BB">
        <w:rPr>
          <w:b/>
          <w:u w:val="single"/>
        </w:rPr>
        <w:t>Task</w:t>
      </w:r>
    </w:p>
    <w:p w:rsidR="00D67242" w:rsidRPr="00D67242" w:rsidRDefault="007F72BB" w:rsidP="00D67242">
      <w:pPr>
        <w:rPr>
          <w:sz w:val="24"/>
        </w:rPr>
      </w:pPr>
      <w:r>
        <w:rPr>
          <w:b/>
          <w:sz w:val="24"/>
          <w:u w:val="single"/>
        </w:rPr>
        <w:t xml:space="preserve"> </w:t>
      </w:r>
      <w:r w:rsidR="00D67242" w:rsidRPr="00D67242">
        <w:rPr>
          <w:sz w:val="24"/>
        </w:rPr>
        <w:t xml:space="preserve">Students will write an opinion piece in the form of an article, supporting a point of view </w:t>
      </w:r>
    </w:p>
    <w:p w:rsidR="00D67242" w:rsidRPr="00D67242" w:rsidRDefault="00D67242" w:rsidP="00D67242">
      <w:pPr>
        <w:rPr>
          <w:sz w:val="24"/>
        </w:rPr>
      </w:pPr>
      <w:r w:rsidRPr="00D67242">
        <w:rPr>
          <w:sz w:val="24"/>
        </w:rPr>
        <w:t>(</w:t>
      </w:r>
      <w:proofErr w:type="gramStart"/>
      <w:r w:rsidRPr="00D67242">
        <w:rPr>
          <w:sz w:val="24"/>
        </w:rPr>
        <w:t>whether</w:t>
      </w:r>
      <w:proofErr w:type="gramEnd"/>
      <w:r w:rsidRPr="00D67242">
        <w:rPr>
          <w:sz w:val="24"/>
        </w:rPr>
        <w:t xml:space="preserve"> or not Michael Bloomberg was right to ban super-size sodas) with reasons and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information</w:t>
      </w:r>
      <w:proofErr w:type="gramEnd"/>
      <w:r w:rsidRPr="00D67242">
        <w:rPr>
          <w:sz w:val="24"/>
        </w:rPr>
        <w:t>.</w:t>
      </w:r>
    </w:p>
    <w:p w:rsidR="00D67242" w:rsidRDefault="00D67242" w:rsidP="00D67242"/>
    <w:p w:rsidR="00D67242" w:rsidRPr="00D67242" w:rsidRDefault="00D67242" w:rsidP="00D67242">
      <w:pPr>
        <w:rPr>
          <w:b/>
          <w:u w:val="single"/>
        </w:rPr>
      </w:pPr>
      <w:r w:rsidRPr="00D67242">
        <w:rPr>
          <w:b/>
          <w:u w:val="single"/>
        </w:rPr>
        <w:t>Assessment</w:t>
      </w:r>
    </w:p>
    <w:p w:rsidR="00D67242" w:rsidRPr="00D67242" w:rsidRDefault="00D67242" w:rsidP="00D67242">
      <w:pPr>
        <w:pStyle w:val="ListParagraph"/>
        <w:numPr>
          <w:ilvl w:val="0"/>
          <w:numId w:val="1"/>
        </w:numPr>
        <w:rPr>
          <w:sz w:val="24"/>
        </w:rPr>
      </w:pPr>
      <w:r w:rsidRPr="00D67242">
        <w:rPr>
          <w:sz w:val="24"/>
        </w:rPr>
        <w:t xml:space="preserve">Make copies of student reading response sheet </w:t>
      </w:r>
    </w:p>
    <w:p w:rsidR="00D67242" w:rsidRPr="00D67242" w:rsidRDefault="00D67242" w:rsidP="00D67242">
      <w:pPr>
        <w:pStyle w:val="ListParagraph"/>
        <w:numPr>
          <w:ilvl w:val="0"/>
          <w:numId w:val="1"/>
        </w:numPr>
        <w:rPr>
          <w:sz w:val="24"/>
        </w:rPr>
      </w:pPr>
      <w:r w:rsidRPr="00D67242">
        <w:rPr>
          <w:sz w:val="24"/>
        </w:rPr>
        <w:t>Have loose leaf paper available for article writing.</w:t>
      </w:r>
    </w:p>
    <w:p w:rsidR="00D67242" w:rsidRDefault="00D67242" w:rsidP="00D67242">
      <w:pPr>
        <w:pStyle w:val="ListParagraph"/>
        <w:numPr>
          <w:ilvl w:val="0"/>
          <w:numId w:val="1"/>
        </w:numPr>
      </w:pPr>
      <w:r w:rsidRPr="00D67242">
        <w:rPr>
          <w:sz w:val="24"/>
        </w:rPr>
        <w:t>Make copies for students of “Sugar Overload”:</w:t>
      </w:r>
    </w:p>
    <w:p w:rsidR="00D67242" w:rsidRDefault="00D67242" w:rsidP="00D67242"/>
    <w:p w:rsidR="00D67242" w:rsidRDefault="00D67242" w:rsidP="00D67242"/>
    <w:p w:rsidR="00D67242" w:rsidRPr="00D67242" w:rsidRDefault="00D67242" w:rsidP="00D67242">
      <w:pPr>
        <w:rPr>
          <w:sz w:val="24"/>
        </w:rPr>
      </w:pPr>
      <w:r w:rsidRPr="00D67242">
        <w:rPr>
          <w:sz w:val="24"/>
        </w:rPr>
        <w:t xml:space="preserve">Take a few minutes to introduce the whole of the assessment to the kids. It might sound </w:t>
      </w:r>
    </w:p>
    <w:p w:rsid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something</w:t>
      </w:r>
      <w:proofErr w:type="gramEnd"/>
      <w:r w:rsidRPr="00D67242">
        <w:rPr>
          <w:sz w:val="24"/>
        </w:rPr>
        <w:t xml:space="preserve"> like:</w:t>
      </w:r>
    </w:p>
    <w:p w:rsidR="00D67242" w:rsidRPr="00D67242" w:rsidRDefault="00D67242" w:rsidP="00D67242">
      <w:pPr>
        <w:rPr>
          <w:sz w:val="24"/>
        </w:rPr>
      </w:pPr>
    </w:p>
    <w:p w:rsidR="00D67242" w:rsidRPr="00D67242" w:rsidRDefault="00D67242" w:rsidP="00D67242">
      <w:pPr>
        <w:rPr>
          <w:sz w:val="24"/>
        </w:rPr>
      </w:pPr>
      <w:r w:rsidRPr="00D67242">
        <w:rPr>
          <w:sz w:val="24"/>
        </w:rPr>
        <w:t xml:space="preserve">“You’re going to have a chance over two class periods to show off your powers as researchers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and</w:t>
      </w:r>
      <w:proofErr w:type="gramEnd"/>
      <w:r w:rsidRPr="00D67242">
        <w:rPr>
          <w:sz w:val="24"/>
        </w:rPr>
        <w:t xml:space="preserve"> persuasive writers. Here’s how it’s going to go – you are going to have the opportunity to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study</w:t>
      </w:r>
      <w:proofErr w:type="gramEnd"/>
      <w:r w:rsidRPr="00D67242">
        <w:rPr>
          <w:sz w:val="24"/>
        </w:rPr>
        <w:t xml:space="preserve"> the issue of the soda ban in New York City. Recently, Mayor Bloomberg decided that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super-size</w:t>
      </w:r>
      <w:proofErr w:type="gramEnd"/>
      <w:r w:rsidRPr="00D67242">
        <w:rPr>
          <w:sz w:val="24"/>
        </w:rPr>
        <w:t>, or extra-large, sodas have too much sugar in them and cannot</w:t>
      </w:r>
    </w:p>
    <w:p w:rsidR="00D67242" w:rsidRPr="00D67242" w:rsidRDefault="00D67242" w:rsidP="00D67242">
      <w:pPr>
        <w:rPr>
          <w:sz w:val="24"/>
        </w:rPr>
      </w:pPr>
      <w:r w:rsidRPr="00D67242">
        <w:rPr>
          <w:sz w:val="24"/>
        </w:rPr>
        <w:t xml:space="preserve">You will decide, based on your reading, whether or not you agree with Mayor Bloomberg’s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decision</w:t>
      </w:r>
      <w:proofErr w:type="gramEnd"/>
      <w:r w:rsidRPr="00D67242">
        <w:rPr>
          <w:sz w:val="24"/>
        </w:rPr>
        <w:t xml:space="preserve"> to ban extra-large sodas in New York City.</w:t>
      </w:r>
    </w:p>
    <w:p w:rsidR="00D67242" w:rsidRPr="00D67242" w:rsidRDefault="00D67242" w:rsidP="00D67242">
      <w:pPr>
        <w:rPr>
          <w:sz w:val="24"/>
        </w:rPr>
      </w:pPr>
      <w:r w:rsidRPr="00D67242">
        <w:rPr>
          <w:sz w:val="24"/>
        </w:rPr>
        <w:t xml:space="preserve">When you write, you’ll want to use what you know about opinion writing: you’ll state an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opinion</w:t>
      </w:r>
      <w:proofErr w:type="gramEnd"/>
      <w:r w:rsidRPr="00D67242">
        <w:rPr>
          <w:sz w:val="24"/>
        </w:rPr>
        <w:t xml:space="preserve">, give reasons to support that opinion, and use some of the evidence you gathered from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the</w:t>
      </w:r>
      <w:proofErr w:type="gramEnd"/>
      <w:r w:rsidRPr="00D67242">
        <w:rPr>
          <w:sz w:val="24"/>
        </w:rPr>
        <w:t xml:space="preserve"> article – you’ll be able to use your graphic organizer and look back at the article to help you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give</w:t>
      </w:r>
      <w:proofErr w:type="gramEnd"/>
      <w:r w:rsidRPr="00D67242">
        <w:rPr>
          <w:sz w:val="24"/>
        </w:rPr>
        <w:t xml:space="preserve"> specific evidence.”</w:t>
      </w:r>
    </w:p>
    <w:p w:rsidR="00D67242" w:rsidRDefault="00D67242" w:rsidP="00D67242"/>
    <w:p w:rsidR="00D67242" w:rsidRPr="00D67242" w:rsidRDefault="00D67242" w:rsidP="00D67242">
      <w:pPr>
        <w:rPr>
          <w:b/>
        </w:rPr>
      </w:pPr>
      <w:r w:rsidRPr="00D67242">
        <w:rPr>
          <w:b/>
        </w:rPr>
        <w:t>Introduction: Video: “Soda Ban Explained”</w:t>
      </w:r>
    </w:p>
    <w:p w:rsidR="00D67242" w:rsidRPr="00D67242" w:rsidRDefault="00D67242" w:rsidP="00D67242">
      <w:pPr>
        <w:rPr>
          <w:sz w:val="24"/>
        </w:rPr>
      </w:pPr>
      <w:r w:rsidRPr="00D67242">
        <w:rPr>
          <w:sz w:val="24"/>
        </w:rPr>
        <w:t xml:space="preserve">You may have the questions “What is a main idea in this video?” and “What is the important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information</w:t>
      </w:r>
      <w:proofErr w:type="gramEnd"/>
      <w:r w:rsidRPr="00D67242">
        <w:rPr>
          <w:sz w:val="24"/>
        </w:rPr>
        <w:t xml:space="preserve"> that supports this idea?” charted. You may also want to pre-teach the word “ban”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to</w:t>
      </w:r>
      <w:proofErr w:type="gramEnd"/>
      <w:r w:rsidRPr="00D67242">
        <w:rPr>
          <w:sz w:val="24"/>
        </w:rPr>
        <w:t xml:space="preserve"> give everyone access to what that word means.</w:t>
      </w:r>
    </w:p>
    <w:p w:rsidR="00D67242" w:rsidRPr="00D67242" w:rsidRDefault="00D67242" w:rsidP="00D67242">
      <w:pPr>
        <w:rPr>
          <w:sz w:val="24"/>
        </w:rPr>
      </w:pPr>
      <w:r w:rsidRPr="00D67242">
        <w:rPr>
          <w:sz w:val="24"/>
        </w:rPr>
        <w:t xml:space="preserve">“We’re going to watch a short video called “Soda Ban Explained.” We are interested in </w:t>
      </w:r>
    </w:p>
    <w:p w:rsidR="00D67242" w:rsidRP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gathering</w:t>
      </w:r>
      <w:proofErr w:type="gramEnd"/>
      <w:r w:rsidRPr="00D67242">
        <w:rPr>
          <w:sz w:val="24"/>
        </w:rPr>
        <w:t xml:space="preserve"> information to help us write an editorial about whether or not we agree with Mayor </w:t>
      </w:r>
    </w:p>
    <w:p w:rsidR="00D67242" w:rsidRDefault="00D67242" w:rsidP="00D67242">
      <w:pPr>
        <w:rPr>
          <w:sz w:val="24"/>
        </w:rPr>
      </w:pPr>
      <w:proofErr w:type="gramStart"/>
      <w:r w:rsidRPr="00D67242">
        <w:rPr>
          <w:sz w:val="24"/>
        </w:rPr>
        <w:t>Bloomberg’s decision to ban large sodas.”</w:t>
      </w:r>
      <w:proofErr w:type="gramEnd"/>
    </w:p>
    <w:p w:rsidR="007F72BB" w:rsidRDefault="007F72BB" w:rsidP="007F72BB">
      <w:r>
        <w:t xml:space="preserve">Watch Video </w:t>
      </w:r>
      <w:r w:rsidRPr="00D67242">
        <w:t>“Soda Ban Explained”</w:t>
      </w:r>
    </w:p>
    <w:p w:rsidR="007F72BB" w:rsidRPr="00D67242" w:rsidRDefault="00527C0B" w:rsidP="007F72BB">
      <w:pPr>
        <w:rPr>
          <w:sz w:val="24"/>
        </w:rPr>
      </w:pPr>
      <w:hyperlink r:id="rId5" w:history="1">
        <w:r w:rsidR="007F72BB" w:rsidRPr="00F72B0A">
          <w:rPr>
            <w:rStyle w:val="Hyperlink"/>
          </w:rPr>
          <w:t>http://www.nytimes.com/2012/09/10/opinion/soda-ban-explained.html?_r=0</w:t>
        </w:r>
      </w:hyperlink>
    </w:p>
    <w:p w:rsidR="00D67242" w:rsidRDefault="00D67242" w:rsidP="00D67242">
      <w:r>
        <w:t>Show EXCERPT from the video.</w:t>
      </w:r>
    </w:p>
    <w:p w:rsidR="00D67242" w:rsidRDefault="00D67242" w:rsidP="00D67242">
      <w:r>
        <w:t>**NOTE: Only show from 1:00 in until 2:10 minutes in** DO NOT SHOW ENTIRE VIDEO.</w:t>
      </w:r>
    </w:p>
    <w:p w:rsidR="00D67242" w:rsidRDefault="00D67242" w:rsidP="00D67242">
      <w:r>
        <w:t xml:space="preserve">After video, you may choose to have either a turn-and-talk or a whole class discussion to process </w:t>
      </w:r>
    </w:p>
    <w:p w:rsidR="00D67242" w:rsidRDefault="00D67242" w:rsidP="00D67242">
      <w:proofErr w:type="gramStart"/>
      <w:r>
        <w:t>the</w:t>
      </w:r>
      <w:proofErr w:type="gramEnd"/>
      <w:r>
        <w:t xml:space="preserve"> information from the video. This will build some background knowledge on the topic before </w:t>
      </w:r>
    </w:p>
    <w:p w:rsidR="00D67242" w:rsidRDefault="00D67242" w:rsidP="00D67242">
      <w:proofErr w:type="gramStart"/>
      <w:r>
        <w:t>the</w:t>
      </w:r>
      <w:proofErr w:type="gramEnd"/>
      <w:r>
        <w:t xml:space="preserve"> grade-level reading experience.</w:t>
      </w:r>
    </w:p>
    <w:p w:rsidR="007F72BB" w:rsidRDefault="007F72BB" w:rsidP="00D67242"/>
    <w:p w:rsidR="007F72BB" w:rsidRDefault="007F72BB" w:rsidP="00D67242"/>
    <w:p w:rsidR="00D67242" w:rsidRDefault="00D67242" w:rsidP="00D67242">
      <w:pPr>
        <w:rPr>
          <w:b/>
          <w:u w:val="single"/>
        </w:rPr>
      </w:pPr>
      <w:r w:rsidRPr="007F72BB">
        <w:rPr>
          <w:b/>
          <w:u w:val="single"/>
        </w:rPr>
        <w:lastRenderedPageBreak/>
        <w:t>Task 1: Independent reading and response to “</w:t>
      </w:r>
      <w:r w:rsidR="007F72BB" w:rsidRPr="007F72BB">
        <w:rPr>
          <w:b/>
          <w:u w:val="single"/>
        </w:rPr>
        <w:t>Sugar Overload</w:t>
      </w:r>
      <w:r w:rsidRPr="007F72BB">
        <w:rPr>
          <w:b/>
          <w:u w:val="single"/>
        </w:rPr>
        <w:t>”</w:t>
      </w:r>
    </w:p>
    <w:p w:rsidR="007F72BB" w:rsidRPr="007F72BB" w:rsidRDefault="007F72BB" w:rsidP="00D67242">
      <w:pPr>
        <w:rPr>
          <w:b/>
          <w:u w:val="single"/>
        </w:rPr>
      </w:pPr>
    </w:p>
    <w:p w:rsidR="00D67242" w:rsidRDefault="00D67242" w:rsidP="00D67242">
      <w:r>
        <w:t xml:space="preserve">“Now you’re going to read an article that teaches us more about sugar and soda. As you read, </w:t>
      </w:r>
    </w:p>
    <w:p w:rsidR="00D67242" w:rsidRDefault="00D67242" w:rsidP="00D67242">
      <w:proofErr w:type="gramStart"/>
      <w:r>
        <w:t>you</w:t>
      </w:r>
      <w:proofErr w:type="gramEnd"/>
      <w:r>
        <w:t xml:space="preserve"> will want to ask yourself key questions that help to think through informational texts. [</w:t>
      </w:r>
      <w:proofErr w:type="gramStart"/>
      <w:r>
        <w:t>point</w:t>
      </w:r>
      <w:proofErr w:type="gramEnd"/>
    </w:p>
    <w:p w:rsidR="00D67242" w:rsidRDefault="00D67242" w:rsidP="00D67242">
      <w:proofErr w:type="gramStart"/>
      <w:r>
        <w:t>to</w:t>
      </w:r>
      <w:proofErr w:type="gramEnd"/>
      <w:r>
        <w:t xml:space="preserve"> chart with questions] After reading, you will answer some of these key questions in a box and </w:t>
      </w:r>
    </w:p>
    <w:p w:rsidR="00D67242" w:rsidRDefault="00D67242" w:rsidP="00D67242">
      <w:proofErr w:type="gramStart"/>
      <w:r>
        <w:t>bullets</w:t>
      </w:r>
      <w:proofErr w:type="gramEnd"/>
      <w:r>
        <w:t xml:space="preserve"> outline to show that you understood ideas in the text and some of the key details that the </w:t>
      </w:r>
    </w:p>
    <w:p w:rsidR="00D67242" w:rsidRDefault="00D67242" w:rsidP="00D67242">
      <w:proofErr w:type="gramStart"/>
      <w:r>
        <w:t>author</w:t>
      </w:r>
      <w:proofErr w:type="gramEnd"/>
      <w:r>
        <w:t xml:space="preserve"> used to support those ideas.”</w:t>
      </w:r>
    </w:p>
    <w:p w:rsidR="007F72BB" w:rsidRDefault="007F72BB" w:rsidP="00D67242">
      <w:pPr>
        <w:rPr>
          <w:b/>
          <w:u w:val="single"/>
        </w:rPr>
      </w:pPr>
    </w:p>
    <w:p w:rsidR="00D67242" w:rsidRPr="007F72BB" w:rsidRDefault="00D67242" w:rsidP="00D67242">
      <w:pPr>
        <w:rPr>
          <w:b/>
          <w:u w:val="single"/>
        </w:rPr>
      </w:pPr>
      <w:r w:rsidRPr="007F72BB">
        <w:rPr>
          <w:b/>
          <w:u w:val="single"/>
        </w:rPr>
        <w:t>Task 2: Opinion writing: Editorial Article</w:t>
      </w:r>
    </w:p>
    <w:p w:rsidR="00D67242" w:rsidRDefault="00D67242" w:rsidP="00D67242">
      <w:r>
        <w:t xml:space="preserve">“Readers, you’ve done some research now by watching a video and reading and studying this </w:t>
      </w:r>
    </w:p>
    <w:p w:rsidR="00D67242" w:rsidRDefault="00D67242" w:rsidP="00D67242">
      <w:proofErr w:type="gramStart"/>
      <w:r>
        <w:t>article</w:t>
      </w:r>
      <w:proofErr w:type="gramEnd"/>
      <w:r>
        <w:t xml:space="preserve">. With this information, do you think that the mayor was right or wrong to ban </w:t>
      </w:r>
      <w:proofErr w:type="gramStart"/>
      <w:r>
        <w:t>super-size</w:t>
      </w:r>
      <w:proofErr w:type="gramEnd"/>
      <w:r>
        <w:t xml:space="preserve"> </w:t>
      </w:r>
    </w:p>
    <w:p w:rsidR="00D67242" w:rsidRDefault="00D67242" w:rsidP="00D67242">
      <w:proofErr w:type="gramStart"/>
      <w:r>
        <w:t>sodas</w:t>
      </w:r>
      <w:proofErr w:type="gramEnd"/>
      <w:r>
        <w:t xml:space="preserve"> in New York City? Imagine that your local newspaper is publishing editorial or opinion </w:t>
      </w:r>
    </w:p>
    <w:p w:rsidR="00D67242" w:rsidRDefault="00D67242" w:rsidP="00D67242">
      <w:proofErr w:type="gramStart"/>
      <w:r>
        <w:t>articles</w:t>
      </w:r>
      <w:proofErr w:type="gramEnd"/>
      <w:r>
        <w:t xml:space="preserve"> about the soda ban. Write an editorial article arguing whether the mayor was right or </w:t>
      </w:r>
    </w:p>
    <w:p w:rsidR="00D67242" w:rsidRDefault="00D67242" w:rsidP="00D67242">
      <w:proofErr w:type="gramStart"/>
      <w:r>
        <w:t>wrong</w:t>
      </w:r>
      <w:proofErr w:type="gramEnd"/>
      <w:r>
        <w:t xml:space="preserve">, using evidence from your reading and watching to support your opinion. Remember that </w:t>
      </w:r>
    </w:p>
    <w:p w:rsidR="00D67242" w:rsidRDefault="00D67242" w:rsidP="00D67242">
      <w:proofErr w:type="gramStart"/>
      <w:r>
        <w:t>as</w:t>
      </w:r>
      <w:proofErr w:type="gramEnd"/>
      <w:r>
        <w:t xml:space="preserve"> opinion writers, you’ll want to be sure to:</w:t>
      </w:r>
    </w:p>
    <w:p w:rsidR="00D67242" w:rsidRDefault="00D67242" w:rsidP="007F72BB">
      <w:pPr>
        <w:pStyle w:val="ListParagraph"/>
        <w:numPr>
          <w:ilvl w:val="0"/>
          <w:numId w:val="1"/>
        </w:numPr>
        <w:tabs>
          <w:tab w:val="left" w:pos="2219"/>
        </w:tabs>
      </w:pPr>
      <w:r>
        <w:t>Quickly plan how the article will go: how it will be organized</w:t>
      </w:r>
    </w:p>
    <w:p w:rsidR="00D67242" w:rsidRDefault="00D67242" w:rsidP="007F72BB">
      <w:pPr>
        <w:pStyle w:val="ListParagraph"/>
        <w:numPr>
          <w:ilvl w:val="0"/>
          <w:numId w:val="2"/>
        </w:numPr>
        <w:tabs>
          <w:tab w:val="left" w:pos="2219"/>
        </w:tabs>
      </w:pPr>
      <w:r>
        <w:t>(you may do this below in a box and bullets outline)</w:t>
      </w:r>
    </w:p>
    <w:p w:rsidR="00D67242" w:rsidRDefault="00D67242" w:rsidP="007F72BB">
      <w:pPr>
        <w:pStyle w:val="ListParagraph"/>
        <w:numPr>
          <w:ilvl w:val="0"/>
          <w:numId w:val="2"/>
        </w:numPr>
        <w:tabs>
          <w:tab w:val="left" w:pos="2219"/>
        </w:tabs>
      </w:pPr>
      <w:r>
        <w:t>Introduce the topic and state an opinion</w:t>
      </w:r>
    </w:p>
    <w:p w:rsidR="00D67242" w:rsidRDefault="00D67242" w:rsidP="007F72BB">
      <w:pPr>
        <w:pStyle w:val="ListParagraph"/>
        <w:numPr>
          <w:ilvl w:val="0"/>
          <w:numId w:val="2"/>
        </w:numPr>
        <w:tabs>
          <w:tab w:val="left" w:pos="2219"/>
        </w:tabs>
      </w:pPr>
      <w:r>
        <w:t>Include reasons for the opinion</w:t>
      </w:r>
    </w:p>
    <w:p w:rsidR="00D67242" w:rsidRDefault="00D67242" w:rsidP="007F72BB">
      <w:pPr>
        <w:pStyle w:val="ListParagraph"/>
        <w:numPr>
          <w:ilvl w:val="0"/>
          <w:numId w:val="2"/>
        </w:numPr>
        <w:tabs>
          <w:tab w:val="left" w:pos="2219"/>
        </w:tabs>
      </w:pPr>
      <w:r>
        <w:t>Include information or details from the readings as evidence</w:t>
      </w:r>
    </w:p>
    <w:p w:rsidR="00D67242" w:rsidRDefault="00D67242" w:rsidP="007F72BB">
      <w:pPr>
        <w:pStyle w:val="ListParagraph"/>
        <w:numPr>
          <w:ilvl w:val="0"/>
          <w:numId w:val="2"/>
        </w:numPr>
        <w:tabs>
          <w:tab w:val="left" w:pos="2219"/>
        </w:tabs>
      </w:pPr>
      <w:r>
        <w:t xml:space="preserve">Use words that help the reader follow your thinking, such as for example, </w:t>
      </w:r>
    </w:p>
    <w:p w:rsidR="00D67242" w:rsidRDefault="00D67242" w:rsidP="007F72BB">
      <w:pPr>
        <w:pStyle w:val="ListParagraph"/>
        <w:numPr>
          <w:ilvl w:val="0"/>
          <w:numId w:val="2"/>
        </w:numPr>
        <w:tabs>
          <w:tab w:val="left" w:pos="2219"/>
        </w:tabs>
      </w:pPr>
      <w:r>
        <w:t>because, therefore)</w:t>
      </w:r>
    </w:p>
    <w:p w:rsidR="00D67242" w:rsidRDefault="00D67242" w:rsidP="007F72BB">
      <w:pPr>
        <w:pStyle w:val="ListParagraph"/>
        <w:numPr>
          <w:ilvl w:val="0"/>
          <w:numId w:val="2"/>
        </w:numPr>
        <w:tabs>
          <w:tab w:val="left" w:pos="2219"/>
        </w:tabs>
      </w:pPr>
      <w:r>
        <w:t>Provide a conclusion</w:t>
      </w:r>
    </w:p>
    <w:p w:rsidR="007F72BB" w:rsidRDefault="007F72BB" w:rsidP="00D67242">
      <w:pPr>
        <w:tabs>
          <w:tab w:val="left" w:pos="2219"/>
        </w:tabs>
      </w:pPr>
    </w:p>
    <w:p w:rsidR="00D67242" w:rsidRDefault="00D67242" w:rsidP="00D67242">
      <w:pPr>
        <w:tabs>
          <w:tab w:val="left" w:pos="2219"/>
        </w:tabs>
        <w:rPr>
          <w:b/>
        </w:rPr>
      </w:pPr>
      <w:r w:rsidRPr="007F72BB">
        <w:rPr>
          <w:b/>
        </w:rPr>
        <w:t>Plan for Editorial Article:</w:t>
      </w:r>
    </w:p>
    <w:p w:rsidR="007F72BB" w:rsidRDefault="00527C0B" w:rsidP="00D67242">
      <w:pPr>
        <w:tabs>
          <w:tab w:val="left" w:pos="2219"/>
        </w:tabs>
        <w:rPr>
          <w:b/>
        </w:rPr>
      </w:pPr>
      <w:r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25pt;margin-top:1.9pt;width:471.65pt;height:130.3pt;z-index:251660288;mso-width-relative:margin;mso-height-relative:margin">
            <v:textbox style="mso-next-textbox:#_x0000_s1026">
              <w:txbxContent>
                <w:p w:rsidR="007F72BB" w:rsidRDefault="007F72BB"/>
              </w:txbxContent>
            </v:textbox>
          </v:shape>
        </w:pict>
      </w:r>
    </w:p>
    <w:p w:rsidR="007F72BB" w:rsidRPr="007F72BB" w:rsidRDefault="007F72BB" w:rsidP="00D67242">
      <w:pPr>
        <w:tabs>
          <w:tab w:val="left" w:pos="2219"/>
        </w:tabs>
        <w:rPr>
          <w:b/>
        </w:rPr>
      </w:pPr>
    </w:p>
    <w:p w:rsidR="007F72BB" w:rsidRDefault="007F72BB" w:rsidP="00D67242">
      <w:pPr>
        <w:tabs>
          <w:tab w:val="left" w:pos="2219"/>
        </w:tabs>
      </w:pPr>
    </w:p>
    <w:p w:rsidR="007F72BB" w:rsidRDefault="007F72BB" w:rsidP="00D67242">
      <w:pPr>
        <w:tabs>
          <w:tab w:val="left" w:pos="2219"/>
        </w:tabs>
      </w:pPr>
    </w:p>
    <w:p w:rsidR="007F72BB" w:rsidRDefault="007F72BB" w:rsidP="00D67242">
      <w:pPr>
        <w:tabs>
          <w:tab w:val="left" w:pos="2219"/>
        </w:tabs>
      </w:pPr>
    </w:p>
    <w:p w:rsidR="007F72BB" w:rsidRDefault="007F72BB" w:rsidP="00D67242">
      <w:pPr>
        <w:tabs>
          <w:tab w:val="left" w:pos="2219"/>
        </w:tabs>
      </w:pPr>
    </w:p>
    <w:p w:rsidR="007F72BB" w:rsidRDefault="007F72BB" w:rsidP="00D67242">
      <w:pPr>
        <w:tabs>
          <w:tab w:val="left" w:pos="2219"/>
        </w:tabs>
      </w:pPr>
    </w:p>
    <w:p w:rsidR="007F72BB" w:rsidRDefault="007F72BB" w:rsidP="00D67242">
      <w:pPr>
        <w:tabs>
          <w:tab w:val="left" w:pos="2219"/>
        </w:tabs>
      </w:pPr>
    </w:p>
    <w:p w:rsidR="007F72BB" w:rsidRDefault="007F72BB" w:rsidP="00D67242">
      <w:pPr>
        <w:tabs>
          <w:tab w:val="left" w:pos="2219"/>
        </w:tabs>
      </w:pPr>
    </w:p>
    <w:p w:rsidR="007F72BB" w:rsidRDefault="007F72BB" w:rsidP="00D67242">
      <w:pPr>
        <w:tabs>
          <w:tab w:val="left" w:pos="2219"/>
        </w:tabs>
      </w:pPr>
    </w:p>
    <w:p w:rsidR="007F72BB" w:rsidRDefault="007F72BB" w:rsidP="00D67242">
      <w:pPr>
        <w:tabs>
          <w:tab w:val="left" w:pos="2219"/>
        </w:tabs>
      </w:pPr>
    </w:p>
    <w:p w:rsidR="00D67242" w:rsidRPr="007F72BB" w:rsidRDefault="00D67242" w:rsidP="007F72BB">
      <w:pPr>
        <w:pStyle w:val="ListParagraph"/>
        <w:numPr>
          <w:ilvl w:val="0"/>
          <w:numId w:val="2"/>
        </w:numPr>
        <w:tabs>
          <w:tab w:val="left" w:pos="2219"/>
        </w:tabs>
        <w:rPr>
          <w:sz w:val="32"/>
        </w:rPr>
      </w:pPr>
      <w:r w:rsidRPr="007F72BB">
        <w:rPr>
          <w:sz w:val="32"/>
        </w:rPr>
        <w:t>________________________________________________________</w:t>
      </w:r>
    </w:p>
    <w:p w:rsidR="00D67242" w:rsidRPr="007F72BB" w:rsidRDefault="00D67242" w:rsidP="007F72BB">
      <w:pPr>
        <w:pStyle w:val="ListParagraph"/>
        <w:tabs>
          <w:tab w:val="left" w:pos="2219"/>
        </w:tabs>
        <w:rPr>
          <w:sz w:val="32"/>
        </w:rPr>
      </w:pPr>
      <w:r w:rsidRPr="007F72BB">
        <w:rPr>
          <w:sz w:val="32"/>
        </w:rPr>
        <w:t>________________________________________________________</w:t>
      </w:r>
    </w:p>
    <w:p w:rsidR="00D67242" w:rsidRPr="007F72BB" w:rsidRDefault="00D67242" w:rsidP="007F72BB">
      <w:pPr>
        <w:pStyle w:val="ListParagraph"/>
        <w:numPr>
          <w:ilvl w:val="0"/>
          <w:numId w:val="3"/>
        </w:numPr>
        <w:tabs>
          <w:tab w:val="left" w:pos="2219"/>
        </w:tabs>
        <w:rPr>
          <w:sz w:val="32"/>
        </w:rPr>
      </w:pPr>
      <w:r w:rsidRPr="007F72BB">
        <w:rPr>
          <w:sz w:val="32"/>
        </w:rPr>
        <w:t>________________________________________________________</w:t>
      </w:r>
    </w:p>
    <w:p w:rsidR="00D67242" w:rsidRPr="007F72BB" w:rsidRDefault="00D67242" w:rsidP="007F72BB">
      <w:pPr>
        <w:pStyle w:val="ListParagraph"/>
        <w:tabs>
          <w:tab w:val="left" w:pos="2219"/>
        </w:tabs>
        <w:rPr>
          <w:sz w:val="32"/>
        </w:rPr>
      </w:pPr>
      <w:r w:rsidRPr="007F72BB">
        <w:rPr>
          <w:sz w:val="32"/>
        </w:rPr>
        <w:t>________________________________________________________</w:t>
      </w:r>
    </w:p>
    <w:p w:rsidR="00D67242" w:rsidRPr="007F72BB" w:rsidRDefault="00D67242" w:rsidP="007F72BB">
      <w:pPr>
        <w:pStyle w:val="ListParagraph"/>
        <w:numPr>
          <w:ilvl w:val="0"/>
          <w:numId w:val="3"/>
        </w:numPr>
        <w:tabs>
          <w:tab w:val="left" w:pos="2219"/>
        </w:tabs>
        <w:rPr>
          <w:sz w:val="32"/>
        </w:rPr>
      </w:pPr>
      <w:r w:rsidRPr="007F72BB">
        <w:rPr>
          <w:sz w:val="32"/>
        </w:rPr>
        <w:t>________________________________________________________</w:t>
      </w:r>
    </w:p>
    <w:p w:rsidR="00D67242" w:rsidRPr="007F72BB" w:rsidRDefault="00D67242" w:rsidP="007F72BB">
      <w:pPr>
        <w:pStyle w:val="ListParagraph"/>
        <w:tabs>
          <w:tab w:val="left" w:pos="2219"/>
        </w:tabs>
        <w:rPr>
          <w:sz w:val="32"/>
        </w:rPr>
      </w:pPr>
      <w:r w:rsidRPr="007F72BB">
        <w:rPr>
          <w:sz w:val="32"/>
        </w:rPr>
        <w:t>________________________________________________________</w:t>
      </w:r>
    </w:p>
    <w:p w:rsidR="00D67242" w:rsidRDefault="00D67242" w:rsidP="00D67242">
      <w:pPr>
        <w:tabs>
          <w:tab w:val="left" w:pos="2219"/>
        </w:tabs>
      </w:pPr>
    </w:p>
    <w:p w:rsidR="00D67242" w:rsidRDefault="00D67242" w:rsidP="00D67242">
      <w:pPr>
        <w:tabs>
          <w:tab w:val="left" w:pos="2219"/>
        </w:tabs>
      </w:pPr>
    </w:p>
    <w:p w:rsidR="00D67242" w:rsidRDefault="00D67242" w:rsidP="00D67242">
      <w:pPr>
        <w:tabs>
          <w:tab w:val="left" w:pos="2219"/>
        </w:tabs>
      </w:pPr>
    </w:p>
    <w:p w:rsidR="00D67242" w:rsidRDefault="00D67242" w:rsidP="00D67242">
      <w:pPr>
        <w:tabs>
          <w:tab w:val="left" w:pos="2219"/>
        </w:tabs>
      </w:pPr>
    </w:p>
    <w:p w:rsidR="00D67242" w:rsidRDefault="00D67242" w:rsidP="00D67242">
      <w:pPr>
        <w:tabs>
          <w:tab w:val="left" w:pos="2219"/>
        </w:tabs>
      </w:pPr>
    </w:p>
    <w:p w:rsidR="00D67242" w:rsidRDefault="00D67242" w:rsidP="00D67242">
      <w:pPr>
        <w:tabs>
          <w:tab w:val="left" w:pos="2219"/>
        </w:tabs>
      </w:pPr>
    </w:p>
    <w:p w:rsidR="00D67242" w:rsidRDefault="00D67242" w:rsidP="00D67242">
      <w:pPr>
        <w:tabs>
          <w:tab w:val="left" w:pos="2219"/>
        </w:tabs>
      </w:pPr>
    </w:p>
    <w:p w:rsidR="00D67242" w:rsidRPr="00D67242" w:rsidRDefault="00D67242" w:rsidP="00D67242">
      <w:pPr>
        <w:tabs>
          <w:tab w:val="left" w:pos="2219"/>
        </w:tabs>
      </w:pPr>
    </w:p>
    <w:sectPr w:rsidR="00D67242" w:rsidRPr="00D67242" w:rsidSect="00D672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5CD"/>
    <w:multiLevelType w:val="hybridMultilevel"/>
    <w:tmpl w:val="4CBC3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905FA"/>
    <w:multiLevelType w:val="hybridMultilevel"/>
    <w:tmpl w:val="EB328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B35E4"/>
    <w:multiLevelType w:val="hybridMultilevel"/>
    <w:tmpl w:val="AB96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67242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27C0B"/>
    <w:rsid w:val="005344BA"/>
    <w:rsid w:val="00652A49"/>
    <w:rsid w:val="006C7239"/>
    <w:rsid w:val="006E7197"/>
    <w:rsid w:val="007031EF"/>
    <w:rsid w:val="00736871"/>
    <w:rsid w:val="00753865"/>
    <w:rsid w:val="00765217"/>
    <w:rsid w:val="007C1094"/>
    <w:rsid w:val="007F72BB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12CD4"/>
    <w:rsid w:val="00C555E2"/>
    <w:rsid w:val="00D60D89"/>
    <w:rsid w:val="00D67242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72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72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2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ytimes.com/2012/09/10/opinion/soda-ban-explained.html?_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2014-12-07T19:35:00Z</dcterms:created>
  <dcterms:modified xsi:type="dcterms:W3CDTF">2014-12-07T19:35:00Z</dcterms:modified>
</cp:coreProperties>
</file>