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7D6660" w:rsidRDefault="00D15B14">
      <w:pPr>
        <w:rPr>
          <w:rFonts w:cstheme="minorHAnsi"/>
          <w:b/>
          <w:sz w:val="36"/>
          <w:szCs w:val="36"/>
        </w:rPr>
      </w:pPr>
      <w:r w:rsidRPr="007D6660">
        <w:rPr>
          <w:rFonts w:cstheme="minorHAnsi"/>
          <w:b/>
          <w:sz w:val="36"/>
          <w:szCs w:val="36"/>
        </w:rPr>
        <w:t xml:space="preserve">Teaching Students to Take Notes </w:t>
      </w:r>
    </w:p>
    <w:p w:rsidR="00D15B14" w:rsidRDefault="00D15B14"/>
    <w:p w:rsidR="00D15B14" w:rsidRPr="007D6660" w:rsidRDefault="00D15B14">
      <w:pPr>
        <w:rPr>
          <w:sz w:val="24"/>
          <w:szCs w:val="24"/>
        </w:rPr>
      </w:pPr>
      <w:r w:rsidRPr="007D6660">
        <w:rPr>
          <w:sz w:val="24"/>
          <w:szCs w:val="24"/>
        </w:rPr>
        <w:t xml:space="preserve">These lessons were written as part of a Reading/Writing Workshop, “Becoming </w:t>
      </w:r>
      <w:proofErr w:type="gramStart"/>
      <w:r w:rsidRPr="007D6660">
        <w:rPr>
          <w:sz w:val="24"/>
          <w:szCs w:val="24"/>
        </w:rPr>
        <w:t>An</w:t>
      </w:r>
      <w:proofErr w:type="gramEnd"/>
      <w:r w:rsidRPr="007D6660">
        <w:rPr>
          <w:sz w:val="24"/>
          <w:szCs w:val="24"/>
        </w:rPr>
        <w:t xml:space="preserve"> Expert to Write Like One,” for second grade. These lessons were adapted from </w:t>
      </w:r>
      <w:r w:rsidRPr="007D6660">
        <w:rPr>
          <w:i/>
          <w:sz w:val="24"/>
          <w:szCs w:val="24"/>
        </w:rPr>
        <w:t>Crafting Non-Fiction</w:t>
      </w:r>
      <w:r w:rsidRPr="007D6660">
        <w:rPr>
          <w:sz w:val="24"/>
          <w:szCs w:val="24"/>
        </w:rPr>
        <w:t xml:space="preserve"> by Linda Hoyt. </w:t>
      </w:r>
      <w:r w:rsidR="007D6660">
        <w:rPr>
          <w:sz w:val="24"/>
          <w:szCs w:val="24"/>
        </w:rPr>
        <w:t>We will use and revise based on the students we are working with and the progress they are making as readers and writers.</w:t>
      </w:r>
    </w:p>
    <w:p w:rsidR="007D6660" w:rsidRDefault="007D6660"/>
    <w:tbl>
      <w:tblPr>
        <w:tblStyle w:val="TableGrid"/>
        <w:tblW w:w="10890" w:type="dxa"/>
        <w:jc w:val="center"/>
        <w:tblInd w:w="-702" w:type="dxa"/>
        <w:tblLook w:val="04A0"/>
      </w:tblPr>
      <w:tblGrid>
        <w:gridCol w:w="1980"/>
        <w:gridCol w:w="4410"/>
        <w:gridCol w:w="2880"/>
        <w:gridCol w:w="1620"/>
      </w:tblGrid>
      <w:tr w:rsidR="007D6660" w:rsidTr="007D6660">
        <w:trPr>
          <w:jc w:val="center"/>
        </w:trPr>
        <w:tc>
          <w:tcPr>
            <w:tcW w:w="1980" w:type="dxa"/>
          </w:tcPr>
          <w:p w:rsidR="007D6660" w:rsidRDefault="007D6660" w:rsidP="007D6660"/>
        </w:tc>
        <w:tc>
          <w:tcPr>
            <w:tcW w:w="4410" w:type="dxa"/>
          </w:tcPr>
          <w:p w:rsidR="007D6660" w:rsidRPr="007D6660" w:rsidRDefault="007D6660" w:rsidP="007D6660">
            <w:pPr>
              <w:rPr>
                <w:rFonts w:cstheme="minorHAnsi"/>
                <w:b/>
                <w:sz w:val="28"/>
                <w:szCs w:val="28"/>
              </w:rPr>
            </w:pPr>
            <w:r w:rsidRPr="007D6660">
              <w:rPr>
                <w:rFonts w:cstheme="minorHAnsi"/>
                <w:b/>
                <w:sz w:val="28"/>
                <w:szCs w:val="28"/>
              </w:rPr>
              <w:t>Lessons</w:t>
            </w:r>
          </w:p>
          <w:p w:rsidR="007D6660" w:rsidRPr="007D6660" w:rsidRDefault="007D6660" w:rsidP="007D6660">
            <w:pPr>
              <w:rPr>
                <w:rFonts w:cstheme="minorHAnsi"/>
                <w:b/>
                <w:sz w:val="28"/>
                <w:szCs w:val="28"/>
              </w:rPr>
            </w:pPr>
          </w:p>
        </w:tc>
        <w:tc>
          <w:tcPr>
            <w:tcW w:w="2880" w:type="dxa"/>
          </w:tcPr>
          <w:p w:rsidR="007D6660" w:rsidRPr="007D6660" w:rsidRDefault="007D6660" w:rsidP="007D6660">
            <w:pPr>
              <w:rPr>
                <w:rFonts w:cstheme="minorHAnsi"/>
                <w:b/>
                <w:sz w:val="28"/>
                <w:szCs w:val="28"/>
              </w:rPr>
            </w:pPr>
            <w:r w:rsidRPr="007D6660">
              <w:rPr>
                <w:rFonts w:cstheme="minorHAnsi"/>
                <w:b/>
                <w:sz w:val="28"/>
                <w:szCs w:val="28"/>
              </w:rPr>
              <w:t>Resources</w:t>
            </w:r>
          </w:p>
        </w:tc>
        <w:tc>
          <w:tcPr>
            <w:tcW w:w="1620" w:type="dxa"/>
          </w:tcPr>
          <w:p w:rsidR="007D6660" w:rsidRPr="007D6660" w:rsidRDefault="007D6660" w:rsidP="007D6660">
            <w:pPr>
              <w:rPr>
                <w:rFonts w:cstheme="minorHAnsi"/>
                <w:b/>
                <w:sz w:val="28"/>
                <w:szCs w:val="28"/>
              </w:rPr>
            </w:pPr>
            <w:r w:rsidRPr="007D6660">
              <w:rPr>
                <w:rFonts w:cstheme="minorHAnsi"/>
                <w:b/>
                <w:sz w:val="28"/>
                <w:szCs w:val="28"/>
              </w:rPr>
              <w:t>Standards</w:t>
            </w:r>
          </w:p>
        </w:tc>
      </w:tr>
      <w:tr w:rsidR="007D6660" w:rsidRPr="007D6660" w:rsidTr="007D6660">
        <w:trPr>
          <w:jc w:val="center"/>
        </w:trPr>
        <w:tc>
          <w:tcPr>
            <w:tcW w:w="1980" w:type="dxa"/>
          </w:tcPr>
          <w:p w:rsidR="007D6660" w:rsidRPr="007D6660" w:rsidRDefault="007D6660" w:rsidP="007D6660">
            <w:pPr>
              <w:rPr>
                <w:rFonts w:cstheme="minorHAnsi"/>
                <w:sz w:val="28"/>
                <w:szCs w:val="28"/>
              </w:rPr>
            </w:pPr>
            <w:r w:rsidRPr="007D6660">
              <w:rPr>
                <w:rFonts w:cstheme="minorHAnsi"/>
                <w:b/>
                <w:sz w:val="28"/>
                <w:szCs w:val="28"/>
              </w:rPr>
              <w:t>Note-taking</w:t>
            </w:r>
          </w:p>
        </w:tc>
        <w:tc>
          <w:tcPr>
            <w:tcW w:w="4410" w:type="dxa"/>
          </w:tcPr>
          <w:p w:rsidR="007D6660" w:rsidRPr="007D6660" w:rsidRDefault="007D6660" w:rsidP="007D6660">
            <w:pPr>
              <w:rPr>
                <w:rFonts w:cstheme="minorHAnsi"/>
                <w:b/>
                <w:u w:val="single"/>
              </w:rPr>
            </w:pPr>
            <w:r w:rsidRPr="007D6660">
              <w:rPr>
                <w:rFonts w:cstheme="minorHAnsi"/>
                <w:b/>
                <w:u w:val="single"/>
              </w:rPr>
              <w:t>Lesson 1</w:t>
            </w:r>
          </w:p>
          <w:p w:rsidR="007D6660" w:rsidRPr="007D6660" w:rsidRDefault="007D6660" w:rsidP="007D6660">
            <w:pPr>
              <w:rPr>
                <w:rFonts w:cstheme="minorHAnsi"/>
              </w:rPr>
            </w:pPr>
            <w:r w:rsidRPr="007D6660">
              <w:rPr>
                <w:rFonts w:cstheme="minorHAnsi"/>
                <w:b/>
              </w:rPr>
              <w:t>"I remember" strategy</w:t>
            </w:r>
            <w:r w:rsidRPr="007D6660">
              <w:rPr>
                <w:rFonts w:cstheme="minorHAnsi"/>
              </w:rPr>
              <w:t xml:space="preserve"> (pp. 54-55)</w:t>
            </w:r>
          </w:p>
          <w:p w:rsidR="007D6660" w:rsidRPr="007D6660" w:rsidRDefault="007D6660" w:rsidP="007D6660">
            <w:pPr>
              <w:pStyle w:val="ListParagraph"/>
              <w:ind w:left="0"/>
              <w:rPr>
                <w:rFonts w:cstheme="minorHAnsi"/>
              </w:rPr>
            </w:pPr>
            <w:r w:rsidRPr="007D6660">
              <w:rPr>
                <w:rFonts w:cstheme="minorHAnsi"/>
              </w:rPr>
              <w:t>This is a summarization strategy in which students read small sections of text, orally retell what they remember, then write in key words and phrases (although the lesson does not indicate this, you may want them to write each different fact on a card and write the page #- this will be helpful later when they are organizing information)</w:t>
            </w:r>
          </w:p>
          <w:p w:rsidR="007D6660" w:rsidRPr="007D6660" w:rsidRDefault="007D6660" w:rsidP="007D6660">
            <w:pPr>
              <w:pStyle w:val="ListParagraph"/>
              <w:ind w:left="0"/>
              <w:rPr>
                <w:rFonts w:cstheme="minorHAnsi"/>
              </w:rPr>
            </w:pPr>
            <w:r w:rsidRPr="007D6660">
              <w:rPr>
                <w:rFonts w:cstheme="minorHAnsi"/>
                <w:b/>
              </w:rPr>
              <w:t>Day 1</w:t>
            </w:r>
            <w:r w:rsidRPr="007D6660">
              <w:rPr>
                <w:rFonts w:cstheme="minorHAnsi"/>
              </w:rPr>
              <w:t xml:space="preserve">- Demonstrate the procedure and remind students to write in single words and phrases </w:t>
            </w:r>
          </w:p>
          <w:p w:rsidR="007D6660" w:rsidRPr="007D6660" w:rsidRDefault="007D6660" w:rsidP="007D6660">
            <w:pPr>
              <w:pStyle w:val="ListParagraph"/>
              <w:ind w:left="0"/>
              <w:rPr>
                <w:rFonts w:cstheme="minorHAnsi"/>
              </w:rPr>
            </w:pPr>
            <w:r w:rsidRPr="007D6660">
              <w:rPr>
                <w:rFonts w:cstheme="minorHAnsi"/>
                <w:b/>
              </w:rPr>
              <w:t>Day 2</w:t>
            </w:r>
            <w:r w:rsidRPr="007D6660">
              <w:rPr>
                <w:rFonts w:cstheme="minorHAnsi"/>
              </w:rPr>
              <w:t xml:space="preserve">- Develop subtopics to allow for more guided research- if subtopics are written in the form of questions, it can help students to decide whether or not what they are reading answers the question. If it doesn’t </w:t>
            </w:r>
            <w:proofErr w:type="gramStart"/>
            <w:r w:rsidRPr="007D6660">
              <w:rPr>
                <w:rFonts w:cstheme="minorHAnsi"/>
              </w:rPr>
              <w:t>answer  the</w:t>
            </w:r>
            <w:proofErr w:type="gramEnd"/>
            <w:r w:rsidRPr="007D6660">
              <w:rPr>
                <w:rFonts w:cstheme="minorHAnsi"/>
              </w:rPr>
              <w:t xml:space="preserve"> question then they do not need to take notes.</w:t>
            </w:r>
          </w:p>
        </w:tc>
        <w:tc>
          <w:tcPr>
            <w:tcW w:w="2880" w:type="dxa"/>
          </w:tcPr>
          <w:p w:rsidR="007D6660" w:rsidRPr="007D6660" w:rsidRDefault="007D6660" w:rsidP="007D6660">
            <w:pPr>
              <w:pStyle w:val="ListParagraph"/>
              <w:numPr>
                <w:ilvl w:val="0"/>
                <w:numId w:val="1"/>
              </w:numPr>
              <w:rPr>
                <w:rFonts w:cstheme="minorHAnsi"/>
              </w:rPr>
            </w:pPr>
            <w:proofErr w:type="spellStart"/>
            <w:r w:rsidRPr="007D6660">
              <w:rPr>
                <w:rFonts w:cstheme="minorHAnsi"/>
              </w:rPr>
              <w:t>Notecards</w:t>
            </w:r>
            <w:proofErr w:type="spellEnd"/>
            <w:r w:rsidRPr="007D6660">
              <w:rPr>
                <w:rFonts w:cstheme="minorHAnsi"/>
              </w:rPr>
              <w:t xml:space="preserve"> (or post-its) per student</w:t>
            </w:r>
          </w:p>
          <w:p w:rsidR="007D6660" w:rsidRPr="007D6660" w:rsidRDefault="007D6660" w:rsidP="007D6660">
            <w:pPr>
              <w:pStyle w:val="ListParagraph"/>
              <w:numPr>
                <w:ilvl w:val="0"/>
                <w:numId w:val="1"/>
              </w:numPr>
              <w:rPr>
                <w:rFonts w:cstheme="minorHAnsi"/>
              </w:rPr>
            </w:pPr>
            <w:r w:rsidRPr="007D6660">
              <w:rPr>
                <w:rFonts w:cstheme="minorHAnsi"/>
              </w:rPr>
              <w:t>Place to store cards</w:t>
            </w:r>
          </w:p>
          <w:p w:rsidR="007D6660" w:rsidRPr="007D6660" w:rsidRDefault="007D6660" w:rsidP="007D6660">
            <w:pPr>
              <w:rPr>
                <w:rFonts w:cstheme="minorHAnsi"/>
                <w:sz w:val="28"/>
                <w:szCs w:val="28"/>
              </w:rPr>
            </w:pPr>
          </w:p>
        </w:tc>
        <w:tc>
          <w:tcPr>
            <w:tcW w:w="1620" w:type="dxa"/>
          </w:tcPr>
          <w:p w:rsidR="007D6660" w:rsidRPr="007D6660" w:rsidRDefault="007D6660" w:rsidP="007D6660">
            <w:pPr>
              <w:rPr>
                <w:rFonts w:cstheme="minorHAnsi"/>
                <w:sz w:val="28"/>
                <w:szCs w:val="28"/>
              </w:rPr>
            </w:pPr>
            <w:r w:rsidRPr="007D6660">
              <w:rPr>
                <w:rFonts w:cstheme="minorHAnsi"/>
                <w:sz w:val="28"/>
                <w:szCs w:val="28"/>
              </w:rPr>
              <w:t>RI. 2.2</w:t>
            </w:r>
          </w:p>
          <w:p w:rsidR="007D6660" w:rsidRPr="007D6660" w:rsidRDefault="007D6660" w:rsidP="007D6660">
            <w:pPr>
              <w:rPr>
                <w:rFonts w:cstheme="minorHAnsi"/>
                <w:sz w:val="28"/>
                <w:szCs w:val="28"/>
              </w:rPr>
            </w:pPr>
          </w:p>
        </w:tc>
      </w:tr>
      <w:tr w:rsidR="007D6660" w:rsidRPr="007D6660" w:rsidTr="007D6660">
        <w:trPr>
          <w:jc w:val="center"/>
        </w:trPr>
        <w:tc>
          <w:tcPr>
            <w:tcW w:w="1980" w:type="dxa"/>
          </w:tcPr>
          <w:p w:rsidR="007D6660" w:rsidRPr="007D6660" w:rsidRDefault="007D6660" w:rsidP="007D6660">
            <w:pPr>
              <w:rPr>
                <w:rFonts w:cstheme="minorHAnsi"/>
              </w:rPr>
            </w:pPr>
          </w:p>
        </w:tc>
        <w:tc>
          <w:tcPr>
            <w:tcW w:w="4410" w:type="dxa"/>
          </w:tcPr>
          <w:p w:rsidR="007D6660" w:rsidRPr="007D6660" w:rsidRDefault="007D6660" w:rsidP="007D6660">
            <w:pPr>
              <w:rPr>
                <w:rFonts w:cstheme="minorHAnsi"/>
                <w:b/>
                <w:u w:val="single"/>
              </w:rPr>
            </w:pPr>
            <w:r w:rsidRPr="007D6660">
              <w:rPr>
                <w:rFonts w:cstheme="minorHAnsi"/>
                <w:b/>
                <w:u w:val="single"/>
              </w:rPr>
              <w:t>Lesson 2</w:t>
            </w:r>
          </w:p>
          <w:p w:rsidR="007D6660" w:rsidRPr="007D6660" w:rsidRDefault="007D6660" w:rsidP="007D6660">
            <w:pPr>
              <w:rPr>
                <w:rFonts w:cstheme="minorHAnsi"/>
              </w:rPr>
            </w:pPr>
            <w:r w:rsidRPr="007D6660">
              <w:rPr>
                <w:rFonts w:cstheme="minorHAnsi"/>
                <w:b/>
              </w:rPr>
              <w:t>Sketch to Stretch strategy- visual summaries</w:t>
            </w:r>
            <w:r w:rsidRPr="007D6660">
              <w:rPr>
                <w:rFonts w:cstheme="minorHAnsi"/>
              </w:rPr>
              <w:t xml:space="preserve"> (pp. 56-57)</w:t>
            </w:r>
          </w:p>
          <w:p w:rsidR="007D6660" w:rsidRPr="007D6660" w:rsidRDefault="007D6660" w:rsidP="007D6660">
            <w:pPr>
              <w:pStyle w:val="ListParagraph"/>
              <w:ind w:left="0"/>
              <w:rPr>
                <w:rFonts w:cstheme="minorHAnsi"/>
              </w:rPr>
            </w:pPr>
            <w:r w:rsidRPr="007D6660">
              <w:rPr>
                <w:rFonts w:cstheme="minorHAnsi"/>
              </w:rPr>
              <w:t xml:space="preserve">This method of note-taking involves reading a small section, pausing to think about what they learned, then sketching and adding labels to their drawings. </w:t>
            </w:r>
          </w:p>
          <w:p w:rsidR="007D6660" w:rsidRPr="007D6660" w:rsidRDefault="007D6660" w:rsidP="007D6660">
            <w:pPr>
              <w:pStyle w:val="ListParagraph"/>
              <w:ind w:left="0"/>
              <w:rPr>
                <w:rFonts w:cstheme="minorHAnsi"/>
              </w:rPr>
            </w:pPr>
            <w:r w:rsidRPr="007D6660">
              <w:rPr>
                <w:rFonts w:cstheme="minorHAnsi"/>
              </w:rPr>
              <w:t>After this lesson they will now have two methods for collecting info/taking notes. They will need to determine based on what they are reading, which method will be most effective. You may teach an additional lesson that helps them figure out which method to use based on the content/passage they are reading.</w:t>
            </w:r>
          </w:p>
        </w:tc>
        <w:tc>
          <w:tcPr>
            <w:tcW w:w="2880" w:type="dxa"/>
          </w:tcPr>
          <w:p w:rsidR="007D6660" w:rsidRPr="007D6660" w:rsidRDefault="007D6660" w:rsidP="007D6660">
            <w:pPr>
              <w:pStyle w:val="ListParagraph"/>
              <w:numPr>
                <w:ilvl w:val="0"/>
                <w:numId w:val="1"/>
              </w:numPr>
              <w:rPr>
                <w:rFonts w:cstheme="minorHAnsi"/>
              </w:rPr>
            </w:pPr>
            <w:proofErr w:type="spellStart"/>
            <w:r w:rsidRPr="007D6660">
              <w:rPr>
                <w:rFonts w:cstheme="minorHAnsi"/>
              </w:rPr>
              <w:t>Notecards</w:t>
            </w:r>
            <w:proofErr w:type="spellEnd"/>
            <w:r w:rsidRPr="007D6660">
              <w:rPr>
                <w:rFonts w:cstheme="minorHAnsi"/>
              </w:rPr>
              <w:t xml:space="preserve"> or half sheets of paper</w:t>
            </w:r>
          </w:p>
          <w:p w:rsidR="007D6660" w:rsidRPr="007D6660" w:rsidRDefault="007D6660" w:rsidP="007D6660">
            <w:pPr>
              <w:rPr>
                <w:rFonts w:cstheme="minorHAnsi"/>
                <w:b/>
                <w:sz w:val="28"/>
                <w:szCs w:val="28"/>
              </w:rPr>
            </w:pPr>
          </w:p>
        </w:tc>
        <w:tc>
          <w:tcPr>
            <w:tcW w:w="1620" w:type="dxa"/>
          </w:tcPr>
          <w:p w:rsidR="007D6660" w:rsidRPr="007D6660" w:rsidRDefault="007D6660" w:rsidP="007D6660">
            <w:pPr>
              <w:rPr>
                <w:rFonts w:cstheme="minorHAnsi"/>
                <w:sz w:val="28"/>
                <w:szCs w:val="28"/>
              </w:rPr>
            </w:pPr>
            <w:r w:rsidRPr="007D6660">
              <w:rPr>
                <w:rFonts w:cstheme="minorHAnsi"/>
                <w:sz w:val="28"/>
                <w:szCs w:val="28"/>
              </w:rPr>
              <w:t>RI.2.2</w:t>
            </w:r>
          </w:p>
          <w:p w:rsidR="007D6660" w:rsidRPr="007D6660" w:rsidRDefault="007D6660" w:rsidP="007D6660">
            <w:pPr>
              <w:rPr>
                <w:rFonts w:cstheme="minorHAnsi"/>
                <w:sz w:val="28"/>
                <w:szCs w:val="28"/>
              </w:rPr>
            </w:pPr>
            <w:r w:rsidRPr="007D6660">
              <w:rPr>
                <w:rFonts w:cstheme="minorHAnsi"/>
                <w:sz w:val="28"/>
                <w:szCs w:val="28"/>
              </w:rPr>
              <w:t>RI.2.7</w:t>
            </w:r>
          </w:p>
          <w:p w:rsidR="007D6660" w:rsidRPr="007D6660" w:rsidRDefault="007D6660" w:rsidP="007D6660">
            <w:pPr>
              <w:rPr>
                <w:rFonts w:cstheme="minorHAnsi"/>
                <w:b/>
                <w:sz w:val="28"/>
                <w:szCs w:val="28"/>
              </w:rPr>
            </w:pPr>
          </w:p>
        </w:tc>
      </w:tr>
    </w:tbl>
    <w:p w:rsidR="007D6660" w:rsidRDefault="007D6660"/>
    <w:tbl>
      <w:tblPr>
        <w:tblStyle w:val="TableGrid"/>
        <w:tblW w:w="10890" w:type="dxa"/>
        <w:tblInd w:w="-702" w:type="dxa"/>
        <w:tblLook w:val="04A0"/>
      </w:tblPr>
      <w:tblGrid>
        <w:gridCol w:w="1980"/>
        <w:gridCol w:w="4410"/>
        <w:gridCol w:w="2880"/>
        <w:gridCol w:w="1620"/>
      </w:tblGrid>
      <w:tr w:rsidR="007D6660" w:rsidRPr="007D6660" w:rsidTr="007D6660">
        <w:tc>
          <w:tcPr>
            <w:tcW w:w="1980" w:type="dxa"/>
          </w:tcPr>
          <w:p w:rsidR="007D6660" w:rsidRPr="007D6660" w:rsidRDefault="007D6660" w:rsidP="007D6660">
            <w:pPr>
              <w:rPr>
                <w:rFonts w:cstheme="minorHAnsi"/>
              </w:rPr>
            </w:pPr>
          </w:p>
        </w:tc>
        <w:tc>
          <w:tcPr>
            <w:tcW w:w="4410" w:type="dxa"/>
          </w:tcPr>
          <w:p w:rsidR="007D6660" w:rsidRPr="007D6660" w:rsidRDefault="007D6660" w:rsidP="007D6660">
            <w:pPr>
              <w:rPr>
                <w:rFonts w:cstheme="minorHAnsi"/>
                <w:b/>
                <w:u w:val="single"/>
              </w:rPr>
            </w:pPr>
            <w:r w:rsidRPr="007D6660">
              <w:rPr>
                <w:rFonts w:cstheme="minorHAnsi"/>
                <w:b/>
                <w:u w:val="single"/>
              </w:rPr>
              <w:t>Lesson 3</w:t>
            </w:r>
          </w:p>
          <w:p w:rsidR="007D6660" w:rsidRPr="007D6660" w:rsidRDefault="007D6660" w:rsidP="007D6660">
            <w:pPr>
              <w:pStyle w:val="ListParagraph"/>
              <w:ind w:left="0"/>
              <w:rPr>
                <w:rFonts w:cstheme="minorHAnsi"/>
              </w:rPr>
            </w:pPr>
            <w:r w:rsidRPr="007D6660">
              <w:rPr>
                <w:rFonts w:cstheme="minorHAnsi"/>
                <w:b/>
              </w:rPr>
              <w:t>Pocket Organizer</w:t>
            </w:r>
            <w:r w:rsidRPr="007D6660">
              <w:rPr>
                <w:rFonts w:cstheme="minorHAnsi"/>
              </w:rPr>
              <w:t xml:space="preserve"> (pp. 60-61) </w:t>
            </w:r>
          </w:p>
          <w:p w:rsidR="007D6660" w:rsidRPr="007D6660" w:rsidRDefault="007D6660" w:rsidP="007D6660">
            <w:pPr>
              <w:pStyle w:val="ListParagraph"/>
              <w:ind w:left="0"/>
              <w:rPr>
                <w:rFonts w:cstheme="minorHAnsi"/>
              </w:rPr>
            </w:pPr>
            <w:r w:rsidRPr="007D6660">
              <w:rPr>
                <w:rFonts w:cstheme="minorHAnsi"/>
              </w:rPr>
              <w:t>(This is exactly like the organizer Michele had in her room). However, the subtopics would be specific to their expert topics. For example- if they are researching an animal, subtopics may be: appearance, diet/food, habitat, etc. This will provide a place for the notes they have been taking up to this point.</w:t>
            </w:r>
          </w:p>
          <w:p w:rsidR="007D6660" w:rsidRPr="007D6660" w:rsidRDefault="007D6660" w:rsidP="007D6660">
            <w:pPr>
              <w:pStyle w:val="ListParagraph"/>
              <w:ind w:left="0"/>
              <w:rPr>
                <w:rFonts w:cstheme="minorHAnsi"/>
                <w:b/>
              </w:rPr>
            </w:pPr>
            <w:r w:rsidRPr="007D6660">
              <w:rPr>
                <w:rFonts w:cstheme="minorHAnsi"/>
                <w:b/>
              </w:rPr>
              <w:t>OR</w:t>
            </w:r>
          </w:p>
          <w:p w:rsidR="007D6660" w:rsidRPr="007D6660" w:rsidRDefault="007D6660" w:rsidP="007D6660">
            <w:pPr>
              <w:pStyle w:val="ListParagraph"/>
              <w:ind w:left="0"/>
              <w:rPr>
                <w:rFonts w:cstheme="minorHAnsi"/>
                <w:b/>
              </w:rPr>
            </w:pPr>
          </w:p>
          <w:p w:rsidR="007D6660" w:rsidRPr="007D6660" w:rsidRDefault="007D6660" w:rsidP="007D6660">
            <w:pPr>
              <w:pStyle w:val="ListParagraph"/>
              <w:ind w:left="0"/>
              <w:rPr>
                <w:rFonts w:cstheme="minorHAnsi"/>
                <w:b/>
                <w:u w:val="single"/>
              </w:rPr>
            </w:pPr>
            <w:r w:rsidRPr="007D6660">
              <w:rPr>
                <w:rFonts w:cstheme="minorHAnsi"/>
                <w:b/>
                <w:u w:val="single"/>
              </w:rPr>
              <w:t>Lesson 3</w:t>
            </w:r>
          </w:p>
          <w:p w:rsidR="007D6660" w:rsidRPr="007D6660" w:rsidRDefault="007D6660" w:rsidP="007D6660">
            <w:pPr>
              <w:pStyle w:val="ListParagraph"/>
              <w:ind w:left="0"/>
              <w:rPr>
                <w:rFonts w:cstheme="minorHAnsi"/>
              </w:rPr>
            </w:pPr>
            <w:r w:rsidRPr="007D6660">
              <w:rPr>
                <w:rFonts w:cstheme="minorHAnsi"/>
                <w:b/>
              </w:rPr>
              <w:t>Using a Research Notebook</w:t>
            </w:r>
            <w:r w:rsidRPr="007D6660">
              <w:rPr>
                <w:rFonts w:cstheme="minorHAnsi"/>
              </w:rPr>
              <w:t xml:space="preserve"> (pp. 62-63)</w:t>
            </w:r>
          </w:p>
          <w:p w:rsidR="007D6660" w:rsidRPr="007D6660" w:rsidRDefault="007D6660" w:rsidP="007D6660">
            <w:pPr>
              <w:pStyle w:val="ListParagraph"/>
              <w:ind w:left="0"/>
              <w:rPr>
                <w:rFonts w:cstheme="minorHAnsi"/>
              </w:rPr>
            </w:pPr>
            <w:r w:rsidRPr="007D6660">
              <w:rPr>
                <w:rFonts w:cstheme="minorHAnsi"/>
              </w:rPr>
              <w:t xml:space="preserve">This is a different way to organize information/notes. If you choose this method, it might be best for students to collect notes on post-its instead of </w:t>
            </w:r>
            <w:proofErr w:type="spellStart"/>
            <w:r w:rsidRPr="007D6660">
              <w:rPr>
                <w:rFonts w:cstheme="minorHAnsi"/>
              </w:rPr>
              <w:t>notecards</w:t>
            </w:r>
            <w:proofErr w:type="spellEnd"/>
            <w:r w:rsidRPr="007D6660">
              <w:rPr>
                <w:rFonts w:cstheme="minorHAnsi"/>
              </w:rPr>
              <w:t xml:space="preserve">. </w:t>
            </w:r>
          </w:p>
          <w:p w:rsidR="007D6660" w:rsidRPr="007D6660" w:rsidRDefault="007D6660" w:rsidP="007D6660">
            <w:pPr>
              <w:pStyle w:val="ListParagraph"/>
              <w:ind w:left="0"/>
              <w:rPr>
                <w:rFonts w:cstheme="minorHAnsi"/>
              </w:rPr>
            </w:pPr>
          </w:p>
          <w:p w:rsidR="007D6660" w:rsidRPr="007D6660" w:rsidRDefault="007D6660" w:rsidP="007D6660">
            <w:pPr>
              <w:pStyle w:val="ListParagraph"/>
              <w:ind w:left="0"/>
              <w:rPr>
                <w:rFonts w:cstheme="minorHAnsi"/>
              </w:rPr>
            </w:pPr>
            <w:r w:rsidRPr="007D6660">
              <w:rPr>
                <w:rFonts w:cstheme="minorHAnsi"/>
              </w:rPr>
              <w:t xml:space="preserve">The format you choose will provide a place for students to organize their </w:t>
            </w:r>
            <w:proofErr w:type="spellStart"/>
            <w:r w:rsidRPr="007D6660">
              <w:rPr>
                <w:rFonts w:cstheme="minorHAnsi"/>
              </w:rPr>
              <w:t>notecards</w:t>
            </w:r>
            <w:proofErr w:type="spellEnd"/>
            <w:r w:rsidRPr="007D6660">
              <w:rPr>
                <w:rFonts w:cstheme="minorHAnsi"/>
              </w:rPr>
              <w:t xml:space="preserve">/post-its. You may have already worked this lesson into your instruction (when you developed subtopics). If not, you will simply model for students how to sort their notes into the correct subheadings. From this point on they can sort notes as they take them. </w:t>
            </w:r>
          </w:p>
          <w:p w:rsidR="007D6660" w:rsidRPr="007D6660" w:rsidRDefault="007D6660" w:rsidP="007D6660">
            <w:pPr>
              <w:pStyle w:val="ListParagraph"/>
              <w:ind w:left="0"/>
              <w:rPr>
                <w:rFonts w:cstheme="minorHAnsi"/>
              </w:rPr>
            </w:pPr>
          </w:p>
          <w:p w:rsidR="007D6660" w:rsidRPr="007D6660" w:rsidRDefault="007D6660" w:rsidP="007D6660">
            <w:pPr>
              <w:pStyle w:val="ListParagraph"/>
              <w:ind w:left="0"/>
              <w:rPr>
                <w:rFonts w:cstheme="minorHAnsi"/>
              </w:rPr>
            </w:pPr>
            <w:r w:rsidRPr="007D6660">
              <w:rPr>
                <w:rFonts w:cstheme="minorHAnsi"/>
                <w:b/>
              </w:rPr>
              <w:t>Mid Workshop Teaching Point-</w:t>
            </w:r>
            <w:r w:rsidRPr="007D6660">
              <w:rPr>
                <w:rFonts w:cstheme="minorHAnsi"/>
              </w:rPr>
              <w:t xml:space="preserve"> you may want to remind students to pay attention to when they are lacking notes in some subtopics or have enough in another. </w:t>
            </w:r>
          </w:p>
        </w:tc>
        <w:tc>
          <w:tcPr>
            <w:tcW w:w="2880" w:type="dxa"/>
          </w:tcPr>
          <w:p w:rsidR="007D6660" w:rsidRPr="007D6660" w:rsidRDefault="007D6660" w:rsidP="007D6660">
            <w:pPr>
              <w:rPr>
                <w:rFonts w:cstheme="minorHAnsi"/>
                <w:b/>
                <w:sz w:val="28"/>
                <w:szCs w:val="28"/>
              </w:rPr>
            </w:pPr>
          </w:p>
          <w:p w:rsidR="007D6660" w:rsidRPr="007D6660" w:rsidRDefault="007D6660" w:rsidP="007D6660">
            <w:pPr>
              <w:pStyle w:val="ListParagraph"/>
              <w:numPr>
                <w:ilvl w:val="0"/>
                <w:numId w:val="1"/>
              </w:numPr>
              <w:rPr>
                <w:rFonts w:cstheme="minorHAnsi"/>
              </w:rPr>
            </w:pPr>
            <w:r w:rsidRPr="007D6660">
              <w:rPr>
                <w:rFonts w:cstheme="minorHAnsi"/>
              </w:rPr>
              <w:t>Research folder with topic pockets</w:t>
            </w:r>
          </w:p>
          <w:p w:rsidR="007D6660" w:rsidRPr="007D6660" w:rsidRDefault="007D6660" w:rsidP="007D6660">
            <w:pPr>
              <w:rPr>
                <w:rFonts w:cstheme="minorHAnsi"/>
                <w:b/>
                <w:sz w:val="28"/>
                <w:szCs w:val="28"/>
              </w:rPr>
            </w:pPr>
          </w:p>
          <w:p w:rsidR="007D6660" w:rsidRPr="007D6660" w:rsidRDefault="007D6660" w:rsidP="007D6660">
            <w:pPr>
              <w:rPr>
                <w:rFonts w:cstheme="minorHAnsi"/>
                <w:sz w:val="28"/>
                <w:szCs w:val="28"/>
              </w:rPr>
            </w:pPr>
          </w:p>
          <w:p w:rsidR="007D6660" w:rsidRPr="007D6660" w:rsidRDefault="007D6660" w:rsidP="007D6660">
            <w:pPr>
              <w:rPr>
                <w:rFonts w:cstheme="minorHAnsi"/>
                <w:sz w:val="28"/>
                <w:szCs w:val="28"/>
              </w:rPr>
            </w:pPr>
          </w:p>
          <w:p w:rsidR="007D6660" w:rsidRPr="007D6660" w:rsidRDefault="007D6660" w:rsidP="007D6660">
            <w:pPr>
              <w:rPr>
                <w:rFonts w:cstheme="minorHAnsi"/>
                <w:sz w:val="28"/>
                <w:szCs w:val="28"/>
              </w:rPr>
            </w:pPr>
          </w:p>
          <w:p w:rsidR="007D6660" w:rsidRPr="007D6660" w:rsidRDefault="007D6660" w:rsidP="007D6660">
            <w:pPr>
              <w:rPr>
                <w:rFonts w:cstheme="minorHAnsi"/>
                <w:sz w:val="28"/>
                <w:szCs w:val="28"/>
              </w:rPr>
            </w:pPr>
          </w:p>
          <w:p w:rsidR="007D6660" w:rsidRPr="007D6660" w:rsidRDefault="007D6660" w:rsidP="007D6660">
            <w:pPr>
              <w:rPr>
                <w:rFonts w:cstheme="minorHAnsi"/>
                <w:sz w:val="28"/>
                <w:szCs w:val="28"/>
              </w:rPr>
            </w:pPr>
          </w:p>
          <w:p w:rsidR="007D6660" w:rsidRPr="007D6660" w:rsidRDefault="007D6660" w:rsidP="007D6660">
            <w:pPr>
              <w:pStyle w:val="ListParagraph"/>
              <w:numPr>
                <w:ilvl w:val="0"/>
                <w:numId w:val="1"/>
              </w:numPr>
              <w:rPr>
                <w:rFonts w:cstheme="minorHAnsi"/>
                <w:sz w:val="28"/>
                <w:szCs w:val="28"/>
              </w:rPr>
            </w:pPr>
            <w:r w:rsidRPr="007D6660">
              <w:rPr>
                <w:rFonts w:cstheme="minorHAnsi"/>
              </w:rPr>
              <w:t>4x11 pieces of paper (81/2 x11 cut in half vertically)- approximately 6 per student</w:t>
            </w:r>
          </w:p>
        </w:tc>
        <w:tc>
          <w:tcPr>
            <w:tcW w:w="1620" w:type="dxa"/>
          </w:tcPr>
          <w:p w:rsidR="007D6660" w:rsidRPr="007D6660" w:rsidRDefault="007D6660" w:rsidP="007D6660">
            <w:pPr>
              <w:rPr>
                <w:rFonts w:cstheme="minorHAnsi"/>
                <w:sz w:val="28"/>
                <w:szCs w:val="28"/>
              </w:rPr>
            </w:pPr>
            <w:r w:rsidRPr="007D6660">
              <w:rPr>
                <w:rFonts w:cstheme="minorHAnsi"/>
                <w:sz w:val="28"/>
                <w:szCs w:val="28"/>
              </w:rPr>
              <w:t>W.2.7</w:t>
            </w:r>
          </w:p>
          <w:p w:rsidR="007D6660" w:rsidRPr="007D6660" w:rsidRDefault="007D6660" w:rsidP="007D6660">
            <w:pPr>
              <w:rPr>
                <w:rFonts w:cstheme="minorHAnsi"/>
                <w:b/>
                <w:sz w:val="28"/>
                <w:szCs w:val="28"/>
              </w:rPr>
            </w:pPr>
          </w:p>
        </w:tc>
      </w:tr>
    </w:tbl>
    <w:p w:rsidR="007D6660" w:rsidRPr="007D6660" w:rsidRDefault="007D6660">
      <w:pPr>
        <w:rPr>
          <w:rFonts w:cstheme="minorHAnsi"/>
        </w:rPr>
      </w:pPr>
    </w:p>
    <w:sectPr w:rsidR="007D6660" w:rsidRPr="007D6660"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F50"/>
    <w:multiLevelType w:val="hybridMultilevel"/>
    <w:tmpl w:val="B576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D15B14"/>
    <w:rsid w:val="0013564C"/>
    <w:rsid w:val="001F7B3C"/>
    <w:rsid w:val="00237843"/>
    <w:rsid w:val="002E6285"/>
    <w:rsid w:val="003121BA"/>
    <w:rsid w:val="0033120B"/>
    <w:rsid w:val="00417539"/>
    <w:rsid w:val="00422E68"/>
    <w:rsid w:val="004F6A74"/>
    <w:rsid w:val="00520774"/>
    <w:rsid w:val="00521ADF"/>
    <w:rsid w:val="005344BA"/>
    <w:rsid w:val="00534A60"/>
    <w:rsid w:val="006321A5"/>
    <w:rsid w:val="00652A49"/>
    <w:rsid w:val="006A2552"/>
    <w:rsid w:val="006C7239"/>
    <w:rsid w:val="006E7197"/>
    <w:rsid w:val="007031EF"/>
    <w:rsid w:val="00736871"/>
    <w:rsid w:val="00753865"/>
    <w:rsid w:val="007C1094"/>
    <w:rsid w:val="007D6660"/>
    <w:rsid w:val="00880904"/>
    <w:rsid w:val="0088617F"/>
    <w:rsid w:val="00891E81"/>
    <w:rsid w:val="008A7DF6"/>
    <w:rsid w:val="009229B7"/>
    <w:rsid w:val="009630FD"/>
    <w:rsid w:val="009B6A3A"/>
    <w:rsid w:val="00A0276A"/>
    <w:rsid w:val="00AC037F"/>
    <w:rsid w:val="00B0493A"/>
    <w:rsid w:val="00B261E0"/>
    <w:rsid w:val="00BA0895"/>
    <w:rsid w:val="00C555E2"/>
    <w:rsid w:val="00D15B14"/>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7D6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6660"/>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2014-08-18T19:19:00Z</dcterms:created>
  <dcterms:modified xsi:type="dcterms:W3CDTF">2014-08-18T19:19:00Z</dcterms:modified>
</cp:coreProperties>
</file>