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048"/>
        <w:gridCol w:w="4320"/>
      </w:tblGrid>
      <w:tr w:rsidR="00335FB8" w:rsidTr="00335FB8">
        <w:trPr>
          <w:trHeight w:val="432"/>
          <w:jc w:val="center"/>
        </w:trPr>
        <w:tc>
          <w:tcPr>
            <w:tcW w:w="6048" w:type="dxa"/>
          </w:tcPr>
          <w:p w:rsidR="00335FB8" w:rsidRDefault="00335FB8" w:rsidP="00335FB8">
            <w:r>
              <w:t>Name:</w:t>
            </w:r>
          </w:p>
        </w:tc>
        <w:tc>
          <w:tcPr>
            <w:tcW w:w="4320" w:type="dxa"/>
          </w:tcPr>
          <w:p w:rsidR="00335FB8" w:rsidRDefault="00335FB8" w:rsidP="00335FB8">
            <w:r>
              <w:t>Date:</w:t>
            </w:r>
          </w:p>
        </w:tc>
      </w:tr>
      <w:tr w:rsidR="00335FB8" w:rsidTr="00335FB8">
        <w:trPr>
          <w:trHeight w:val="432"/>
          <w:jc w:val="center"/>
        </w:trPr>
        <w:tc>
          <w:tcPr>
            <w:tcW w:w="6048" w:type="dxa"/>
          </w:tcPr>
          <w:p w:rsidR="00335FB8" w:rsidRDefault="00335FB8" w:rsidP="00335FB8">
            <w:r>
              <w:t>Book Title:</w:t>
            </w:r>
          </w:p>
        </w:tc>
        <w:tc>
          <w:tcPr>
            <w:tcW w:w="4320" w:type="dxa"/>
          </w:tcPr>
          <w:p w:rsidR="00335FB8" w:rsidRDefault="00335FB8" w:rsidP="00335FB8">
            <w:r>
              <w:t>Level:</w:t>
            </w:r>
          </w:p>
        </w:tc>
      </w:tr>
    </w:tbl>
    <w:p w:rsidR="00335FB8" w:rsidRPr="00F173E5" w:rsidRDefault="003D7106" w:rsidP="00335FB8">
      <w:pPr>
        <w:rPr>
          <w:sz w:val="24"/>
          <w:szCs w:val="24"/>
        </w:rPr>
      </w:pPr>
      <w:r w:rsidRPr="003D7106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25pt;margin-top:4.3pt;width:219.55pt;height:134.7pt;z-index:251660288;mso-height-percent:200;mso-position-horizontal-relative:text;mso-position-vertical-relative:text;mso-height-percent:200;mso-width-relative:margin;mso-height-relative:margin" strokeweight="1.5pt">
            <v:textbox style="mso-fit-shape-to-text:t">
              <w:txbxContent>
                <w:p w:rsidR="00C12471" w:rsidRDefault="00C12471">
                  <w:r>
                    <w:t>Miscues:  _____ Self Corrections: _____</w:t>
                  </w:r>
                </w:p>
                <w:p w:rsidR="00C12471" w:rsidRDefault="00C12471">
                  <w:r>
                    <w:t>Accuracy: _____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03"/>
                    <w:gridCol w:w="803"/>
                    <w:gridCol w:w="803"/>
                    <w:gridCol w:w="803"/>
                    <w:gridCol w:w="803"/>
                  </w:tblGrid>
                  <w:tr w:rsidR="00C12471" w:rsidTr="00335FB8">
                    <w:tc>
                      <w:tcPr>
                        <w:tcW w:w="803" w:type="dxa"/>
                      </w:tcPr>
                      <w:p w:rsidR="00C12471" w:rsidRDefault="00C12471">
                        <w:r>
                          <w:t>100%</w:t>
                        </w:r>
                      </w:p>
                    </w:tc>
                    <w:tc>
                      <w:tcPr>
                        <w:tcW w:w="803" w:type="dxa"/>
                      </w:tcPr>
                      <w:p w:rsidR="00C12471" w:rsidRDefault="00C12471">
                        <w:r>
                          <w:t>99%</w:t>
                        </w:r>
                      </w:p>
                    </w:tc>
                    <w:tc>
                      <w:tcPr>
                        <w:tcW w:w="803" w:type="dxa"/>
                      </w:tcPr>
                      <w:p w:rsidR="00C12471" w:rsidRDefault="00C12471">
                        <w:r>
                          <w:t>98%</w:t>
                        </w:r>
                      </w:p>
                    </w:tc>
                    <w:tc>
                      <w:tcPr>
                        <w:tcW w:w="803" w:type="dxa"/>
                      </w:tcPr>
                      <w:p w:rsidR="00C12471" w:rsidRDefault="00C12471">
                        <w:r>
                          <w:t>97%</w:t>
                        </w:r>
                      </w:p>
                    </w:tc>
                    <w:tc>
                      <w:tcPr>
                        <w:tcW w:w="803" w:type="dxa"/>
                      </w:tcPr>
                      <w:p w:rsidR="00C12471" w:rsidRDefault="00C12471">
                        <w:r>
                          <w:t>96%</w:t>
                        </w:r>
                      </w:p>
                    </w:tc>
                  </w:tr>
                  <w:tr w:rsidR="00C12471" w:rsidTr="00335FB8">
                    <w:tc>
                      <w:tcPr>
                        <w:tcW w:w="803" w:type="dxa"/>
                      </w:tcPr>
                      <w:p w:rsidR="00C12471" w:rsidRDefault="00C12471">
                        <w:r>
                          <w:t xml:space="preserve">0 </w:t>
                        </w:r>
                        <w:r w:rsidRPr="00335FB8">
                          <w:rPr>
                            <w:sz w:val="18"/>
                            <w:szCs w:val="18"/>
                          </w:rPr>
                          <w:t>miscues</w:t>
                        </w:r>
                      </w:p>
                    </w:tc>
                    <w:tc>
                      <w:tcPr>
                        <w:tcW w:w="803" w:type="dxa"/>
                      </w:tcPr>
                      <w:p w:rsidR="00C12471" w:rsidRDefault="00C12471">
                        <w:r>
                          <w:t xml:space="preserve">1 </w:t>
                        </w:r>
                      </w:p>
                      <w:p w:rsidR="00C12471" w:rsidRDefault="00C12471">
                        <w:r>
                          <w:rPr>
                            <w:sz w:val="18"/>
                            <w:szCs w:val="18"/>
                          </w:rPr>
                          <w:t>miscue</w:t>
                        </w:r>
                      </w:p>
                    </w:tc>
                    <w:tc>
                      <w:tcPr>
                        <w:tcW w:w="803" w:type="dxa"/>
                      </w:tcPr>
                      <w:p w:rsidR="00C12471" w:rsidRDefault="00C12471">
                        <w:r>
                          <w:t>2</w:t>
                        </w:r>
                      </w:p>
                      <w:p w:rsidR="00C12471" w:rsidRDefault="00C12471">
                        <w:r w:rsidRPr="00335FB8">
                          <w:rPr>
                            <w:sz w:val="18"/>
                            <w:szCs w:val="18"/>
                          </w:rPr>
                          <w:t>miscues</w:t>
                        </w:r>
                      </w:p>
                    </w:tc>
                    <w:tc>
                      <w:tcPr>
                        <w:tcW w:w="803" w:type="dxa"/>
                      </w:tcPr>
                      <w:p w:rsidR="00C12471" w:rsidRDefault="00C12471" w:rsidP="00335FB8">
                        <w:r>
                          <w:t>3</w:t>
                        </w:r>
                      </w:p>
                      <w:p w:rsidR="00C12471" w:rsidRDefault="00C12471" w:rsidP="00335FB8">
                        <w:r w:rsidRPr="00335FB8">
                          <w:rPr>
                            <w:sz w:val="18"/>
                            <w:szCs w:val="18"/>
                          </w:rPr>
                          <w:t>miscues</w:t>
                        </w:r>
                      </w:p>
                    </w:tc>
                    <w:tc>
                      <w:tcPr>
                        <w:tcW w:w="803" w:type="dxa"/>
                      </w:tcPr>
                      <w:p w:rsidR="00C12471" w:rsidRDefault="00C12471" w:rsidP="00335FB8">
                        <w:r>
                          <w:t>4</w:t>
                        </w:r>
                      </w:p>
                      <w:p w:rsidR="00C12471" w:rsidRDefault="00C12471" w:rsidP="00335FB8">
                        <w:r w:rsidRPr="00335FB8">
                          <w:rPr>
                            <w:sz w:val="18"/>
                            <w:szCs w:val="18"/>
                          </w:rPr>
                          <w:t>miscues</w:t>
                        </w:r>
                      </w:p>
                    </w:tc>
                  </w:tr>
                </w:tbl>
                <w:p w:rsidR="00C12471" w:rsidRDefault="00C12471">
                  <w:pPr>
                    <w:rPr>
                      <w:sz w:val="18"/>
                      <w:szCs w:val="18"/>
                    </w:rPr>
                  </w:pPr>
                  <w:r w:rsidRPr="00335FB8">
                    <w:rPr>
                      <w:sz w:val="18"/>
                      <w:szCs w:val="18"/>
                    </w:rPr>
                    <w:t xml:space="preserve">96%-100% accuracy will place a child in an independent level </w:t>
                  </w:r>
                  <w:r>
                    <w:rPr>
                      <w:sz w:val="18"/>
                      <w:szCs w:val="18"/>
                    </w:rPr>
                    <w:t xml:space="preserve">(Richard </w:t>
                  </w:r>
                  <w:proofErr w:type="spellStart"/>
                  <w:r>
                    <w:rPr>
                      <w:sz w:val="18"/>
                      <w:szCs w:val="18"/>
                    </w:rPr>
                    <w:t>Allington</w:t>
                  </w:r>
                  <w:proofErr w:type="spellEnd"/>
                  <w:r>
                    <w:rPr>
                      <w:sz w:val="18"/>
                      <w:szCs w:val="18"/>
                    </w:rPr>
                    <w:t>).</w:t>
                  </w:r>
                </w:p>
                <w:p w:rsidR="00C12471" w:rsidRDefault="00C12471">
                  <w:pPr>
                    <w:rPr>
                      <w:sz w:val="18"/>
                      <w:szCs w:val="18"/>
                    </w:rPr>
                  </w:pPr>
                </w:p>
                <w:p w:rsidR="00C12471" w:rsidRDefault="00C12471">
                  <w:r w:rsidRPr="00181A97">
                    <w:t xml:space="preserve">Rate: </w:t>
                  </w:r>
                  <w:r>
                    <w:t>____</w:t>
                  </w:r>
                </w:p>
                <w:p w:rsidR="00C12471" w:rsidRPr="00181A97" w:rsidRDefault="00C12471"/>
              </w:txbxContent>
            </v:textbox>
          </v:shape>
        </w:pict>
      </w:r>
      <w:r w:rsidR="00335FB8" w:rsidRPr="00F173E5">
        <w:rPr>
          <w:b/>
          <w:sz w:val="24"/>
          <w:szCs w:val="24"/>
        </w:rPr>
        <w:t>Accuracy and Rate:</w:t>
      </w:r>
    </w:p>
    <w:p w:rsidR="00335FB8" w:rsidRPr="00F173E5" w:rsidRDefault="00335FB8" w:rsidP="00335F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3E5">
        <w:rPr>
          <w:sz w:val="20"/>
          <w:szCs w:val="20"/>
        </w:rPr>
        <w:t>Mark off 100 words in the book.</w:t>
      </w:r>
    </w:p>
    <w:p w:rsidR="00335FB8" w:rsidRPr="00F173E5" w:rsidRDefault="00335FB8" w:rsidP="00335F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3E5">
        <w:rPr>
          <w:sz w:val="20"/>
          <w:szCs w:val="20"/>
        </w:rPr>
        <w:t>Student should read that section aloud.</w:t>
      </w:r>
    </w:p>
    <w:p w:rsidR="00335FB8" w:rsidRPr="00F173E5" w:rsidRDefault="00335FB8" w:rsidP="00335F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3E5">
        <w:rPr>
          <w:sz w:val="20"/>
          <w:szCs w:val="20"/>
        </w:rPr>
        <w:t>Complete a running record M/S/V.</w:t>
      </w:r>
    </w:p>
    <w:p w:rsidR="00335FB8" w:rsidRPr="00F173E5" w:rsidRDefault="00335FB8" w:rsidP="00335F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3E5">
        <w:rPr>
          <w:sz w:val="20"/>
          <w:szCs w:val="20"/>
        </w:rPr>
        <w:t>Count the uncorrected miscues to determine accuracy.</w:t>
      </w:r>
    </w:p>
    <w:p w:rsidR="00181A97" w:rsidRPr="00F173E5" w:rsidRDefault="00181A97" w:rsidP="00181A97">
      <w:pPr>
        <w:rPr>
          <w:sz w:val="20"/>
          <w:szCs w:val="20"/>
        </w:rPr>
      </w:pPr>
    </w:p>
    <w:p w:rsidR="00181A97" w:rsidRPr="00F173E5" w:rsidRDefault="00181A97" w:rsidP="00181A97">
      <w:pPr>
        <w:rPr>
          <w:b/>
          <w:sz w:val="20"/>
          <w:szCs w:val="20"/>
        </w:rPr>
      </w:pPr>
      <w:r w:rsidRPr="00F173E5">
        <w:rPr>
          <w:b/>
          <w:sz w:val="20"/>
          <w:szCs w:val="20"/>
        </w:rPr>
        <w:t>Observed Reading Behaviors:</w:t>
      </w:r>
    </w:p>
    <w:p w:rsidR="00181A97" w:rsidRPr="00F173E5" w:rsidRDefault="00181A97" w:rsidP="00181A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3E5">
        <w:rPr>
          <w:sz w:val="20"/>
          <w:szCs w:val="20"/>
        </w:rPr>
        <w:t xml:space="preserve">Flexible word-solver </w:t>
      </w:r>
    </w:p>
    <w:p w:rsidR="00181A97" w:rsidRPr="00F173E5" w:rsidRDefault="00181A97" w:rsidP="00181A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3E5">
        <w:rPr>
          <w:sz w:val="20"/>
          <w:szCs w:val="20"/>
        </w:rPr>
        <w:t>Reads in short and longer phrases</w:t>
      </w:r>
    </w:p>
    <w:p w:rsidR="00181A97" w:rsidRPr="00F173E5" w:rsidRDefault="003D7106" w:rsidP="00181A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7106">
        <w:rPr>
          <w:b/>
          <w:noProof/>
          <w:sz w:val="20"/>
          <w:szCs w:val="20"/>
        </w:rPr>
        <w:pict>
          <v:shape id="_x0000_s1027" type="#_x0000_t202" style="position:absolute;left:0;text-align:left;margin-left:329.35pt;margin-top:11pt;width:219.55pt;height:158.15pt;z-index:251661312;mso-width-relative:margin;mso-height-relative:margin" strokeweight="1.5pt">
            <v:textbox>
              <w:txbxContent>
                <w:p w:rsidR="00C12471" w:rsidRDefault="00C12471" w:rsidP="00C12471">
                  <w:pPr>
                    <w:spacing w:line="276" w:lineRule="auto"/>
                  </w:pPr>
                  <w:r>
                    <w:t>Notes about Accuracy, Fluency and Intonation: _____________________________________</w:t>
                  </w:r>
                </w:p>
                <w:p w:rsidR="00C12471" w:rsidRDefault="00C12471" w:rsidP="00C12471">
                  <w:pPr>
                    <w:spacing w:line="276" w:lineRule="auto"/>
                  </w:pPr>
                  <w:r>
                    <w:t>_______________________________________________________________________________________________________________</w:t>
                  </w:r>
                </w:p>
                <w:p w:rsidR="00C12471" w:rsidRPr="00181A97" w:rsidRDefault="00C12471" w:rsidP="00C12471">
                  <w:pPr>
                    <w:spacing w:line="276" w:lineRule="auto"/>
                  </w:pPr>
                  <w:r>
                    <w:t>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181A97" w:rsidRPr="00F173E5">
        <w:rPr>
          <w:sz w:val="20"/>
          <w:szCs w:val="20"/>
        </w:rPr>
        <w:t>Miscues make sense</w:t>
      </w:r>
    </w:p>
    <w:p w:rsidR="00181A97" w:rsidRPr="00F173E5" w:rsidRDefault="00181A97" w:rsidP="00181A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3E5">
        <w:rPr>
          <w:sz w:val="20"/>
          <w:szCs w:val="20"/>
        </w:rPr>
        <w:t>Miscues fit syntax or sentence structure</w:t>
      </w:r>
    </w:p>
    <w:p w:rsidR="00181A97" w:rsidRPr="00F173E5" w:rsidRDefault="00181A97" w:rsidP="00181A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3E5">
        <w:rPr>
          <w:sz w:val="20"/>
          <w:szCs w:val="20"/>
        </w:rPr>
        <w:t>Miscues look similar to words in the text</w:t>
      </w:r>
    </w:p>
    <w:p w:rsidR="00181A97" w:rsidRDefault="00181A97" w:rsidP="00181A97"/>
    <w:p w:rsidR="00181A97" w:rsidRPr="00F173E5" w:rsidRDefault="009E64C2" w:rsidP="00181A97">
      <w:pPr>
        <w:rPr>
          <w:b/>
          <w:sz w:val="24"/>
          <w:szCs w:val="24"/>
        </w:rPr>
      </w:pPr>
      <w:r w:rsidRPr="00F173E5">
        <w:rPr>
          <w:b/>
          <w:sz w:val="24"/>
          <w:szCs w:val="24"/>
        </w:rPr>
        <w:t>Fluency and Intonation</w:t>
      </w:r>
      <w:r w:rsidR="00181A97" w:rsidRPr="00F173E5">
        <w:rPr>
          <w:b/>
          <w:sz w:val="24"/>
          <w:szCs w:val="24"/>
        </w:rPr>
        <w:t>:</w:t>
      </w:r>
    </w:p>
    <w:p w:rsidR="008A4CCF" w:rsidRDefault="009E64C2" w:rsidP="00181A97">
      <w:pPr>
        <w:rPr>
          <w:sz w:val="20"/>
          <w:szCs w:val="20"/>
        </w:rPr>
      </w:pPr>
      <w:r w:rsidRPr="00F173E5">
        <w:rPr>
          <w:sz w:val="20"/>
          <w:szCs w:val="20"/>
        </w:rPr>
        <w:t>If you feel the student’s expression was impacted by the newness of the passage</w:t>
      </w:r>
    </w:p>
    <w:p w:rsidR="00181A97" w:rsidRPr="00F173E5" w:rsidRDefault="009E64C2" w:rsidP="00181A97">
      <w:pPr>
        <w:rPr>
          <w:sz w:val="20"/>
          <w:szCs w:val="20"/>
        </w:rPr>
      </w:pPr>
      <w:r w:rsidRPr="00F173E5">
        <w:rPr>
          <w:sz w:val="20"/>
          <w:szCs w:val="20"/>
        </w:rPr>
        <w:t xml:space="preserve"> </w:t>
      </w:r>
      <w:proofErr w:type="gramStart"/>
      <w:r w:rsidRPr="00F173E5">
        <w:rPr>
          <w:sz w:val="20"/>
          <w:szCs w:val="20"/>
        </w:rPr>
        <w:t>or</w:t>
      </w:r>
      <w:proofErr w:type="gramEnd"/>
      <w:r w:rsidRPr="00F173E5">
        <w:rPr>
          <w:sz w:val="20"/>
          <w:szCs w:val="20"/>
        </w:rPr>
        <w:t xml:space="preserve"> if you are questioning their fluency, you can ask them to reread</w:t>
      </w:r>
      <w:r w:rsidR="008A4CCF">
        <w:rPr>
          <w:sz w:val="20"/>
          <w:szCs w:val="20"/>
        </w:rPr>
        <w:t xml:space="preserve"> </w:t>
      </w:r>
      <w:r w:rsidRPr="00F173E5">
        <w:rPr>
          <w:sz w:val="20"/>
          <w:szCs w:val="20"/>
        </w:rPr>
        <w:t xml:space="preserve">the section. </w:t>
      </w:r>
    </w:p>
    <w:p w:rsidR="00F173E5" w:rsidRDefault="00F173E5" w:rsidP="00181A97"/>
    <w:p w:rsidR="00F173E5" w:rsidRPr="00F173E5" w:rsidRDefault="00F173E5" w:rsidP="00181A97">
      <w:pPr>
        <w:rPr>
          <w:b/>
          <w:sz w:val="20"/>
          <w:szCs w:val="20"/>
        </w:rPr>
      </w:pPr>
      <w:r w:rsidRPr="00F173E5">
        <w:rPr>
          <w:b/>
          <w:sz w:val="20"/>
          <w:szCs w:val="20"/>
        </w:rPr>
        <w:t>Observed Reading Behaviors:</w:t>
      </w:r>
    </w:p>
    <w:p w:rsidR="009E64C2" w:rsidRPr="00F173E5" w:rsidRDefault="009E64C2" w:rsidP="009E64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3E5">
        <w:rPr>
          <w:sz w:val="20"/>
          <w:szCs w:val="20"/>
        </w:rPr>
        <w:t>Responds to punctuation (changing his/her voice</w:t>
      </w:r>
    </w:p>
    <w:p w:rsidR="009E64C2" w:rsidRPr="00F173E5" w:rsidRDefault="009E64C2" w:rsidP="009E64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3E5">
        <w:rPr>
          <w:sz w:val="20"/>
          <w:szCs w:val="20"/>
        </w:rPr>
        <w:t>Reads dialogue with phrasing and expression</w:t>
      </w:r>
    </w:p>
    <w:p w:rsidR="009E64C2" w:rsidRPr="00F173E5" w:rsidRDefault="009E64C2" w:rsidP="009E64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3E5">
        <w:rPr>
          <w:sz w:val="20"/>
          <w:szCs w:val="20"/>
        </w:rPr>
        <w:t>Reads in short and longer phrases</w:t>
      </w:r>
    </w:p>
    <w:p w:rsidR="009E64C2" w:rsidRPr="00F173E5" w:rsidRDefault="009E64C2" w:rsidP="009E64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3E5">
        <w:rPr>
          <w:sz w:val="20"/>
          <w:szCs w:val="20"/>
        </w:rPr>
        <w:t>Changes voice to mark shifts in mood or tone</w:t>
      </w:r>
    </w:p>
    <w:p w:rsidR="00181A97" w:rsidRPr="00C12471" w:rsidRDefault="009E64C2" w:rsidP="00181A9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3E5">
        <w:rPr>
          <w:sz w:val="20"/>
          <w:szCs w:val="20"/>
        </w:rPr>
        <w:t xml:space="preserve">Changes voice to reflect meaning and understanding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  <w:gridCol w:w="540"/>
        <w:gridCol w:w="488"/>
        <w:gridCol w:w="387"/>
        <w:gridCol w:w="308"/>
        <w:gridCol w:w="330"/>
        <w:gridCol w:w="387"/>
        <w:gridCol w:w="308"/>
        <w:gridCol w:w="330"/>
      </w:tblGrid>
      <w:tr w:rsidR="00F173E5" w:rsidRPr="007B120B" w:rsidTr="00F173E5">
        <w:trPr>
          <w:trHeight w:val="172"/>
        </w:trPr>
        <w:tc>
          <w:tcPr>
            <w:tcW w:w="79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73E5" w:rsidRPr="00F173E5" w:rsidRDefault="00F173E5" w:rsidP="00F173E5">
            <w:pPr>
              <w:rPr>
                <w:rFonts w:cstheme="minorHAnsi"/>
                <w:sz w:val="28"/>
              </w:rPr>
            </w:pPr>
            <w:r w:rsidRPr="00F173E5">
              <w:rPr>
                <w:rFonts w:cstheme="minorHAnsi"/>
                <w:sz w:val="28"/>
              </w:rPr>
              <w:t>Text</w:t>
            </w:r>
          </w:p>
        </w:tc>
        <w:tc>
          <w:tcPr>
            <w:tcW w:w="54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16"/>
              </w:rPr>
            </w:pPr>
            <w:r w:rsidRPr="00F173E5">
              <w:rPr>
                <w:rFonts w:cstheme="minorHAnsi"/>
                <w:sz w:val="16"/>
              </w:rPr>
              <w:t xml:space="preserve"> E</w:t>
            </w:r>
          </w:p>
        </w:tc>
        <w:tc>
          <w:tcPr>
            <w:tcW w:w="48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16"/>
              </w:rPr>
            </w:pPr>
            <w:r w:rsidRPr="00F173E5">
              <w:rPr>
                <w:rFonts w:cstheme="minorHAnsi"/>
                <w:sz w:val="16"/>
              </w:rPr>
              <w:t>SC</w:t>
            </w:r>
          </w:p>
        </w:tc>
        <w:tc>
          <w:tcPr>
            <w:tcW w:w="102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3E5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02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3E5">
              <w:rPr>
                <w:rFonts w:cstheme="minorHAnsi"/>
                <w:sz w:val="20"/>
                <w:szCs w:val="20"/>
              </w:rPr>
              <w:t>SC</w:t>
            </w:r>
          </w:p>
        </w:tc>
      </w:tr>
      <w:tr w:rsidR="00F173E5" w:rsidRPr="007B120B" w:rsidTr="00F173E5">
        <w:trPr>
          <w:trHeight w:val="172"/>
        </w:trPr>
        <w:tc>
          <w:tcPr>
            <w:tcW w:w="79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73E5" w:rsidRPr="00F173E5" w:rsidRDefault="00F173E5" w:rsidP="00F173E5">
            <w:pPr>
              <w:rPr>
                <w:rFonts w:cstheme="minorHAnsi"/>
                <w:sz w:val="28"/>
              </w:rPr>
            </w:pPr>
          </w:p>
        </w:tc>
        <w:tc>
          <w:tcPr>
            <w:tcW w:w="54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8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08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33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38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08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33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73E5" w:rsidRPr="00F173E5" w:rsidRDefault="00F173E5" w:rsidP="00F173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F173E5" w:rsidTr="00F173E5">
        <w:trPr>
          <w:trHeight w:val="720"/>
        </w:trPr>
        <w:tc>
          <w:tcPr>
            <w:tcW w:w="79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Pr="007B120B" w:rsidRDefault="00F173E5" w:rsidP="00F173E5">
            <w:pPr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Default="00F173E5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12471" w:rsidRDefault="00C12471" w:rsidP="00F173E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173E5" w:rsidRPr="007B120B" w:rsidRDefault="00F173E5" w:rsidP="008A4CC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3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3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</w:tr>
      <w:tr w:rsidR="00F173E5" w:rsidTr="00F173E5">
        <w:trPr>
          <w:trHeight w:val="459"/>
        </w:trPr>
        <w:tc>
          <w:tcPr>
            <w:tcW w:w="79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Pr="00F173E5" w:rsidRDefault="00F173E5" w:rsidP="00F173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3E5">
              <w:rPr>
                <w:rFonts w:cstheme="minorHAnsi"/>
                <w:sz w:val="20"/>
                <w:szCs w:val="20"/>
              </w:rPr>
              <w:t>Subtotal</w:t>
            </w:r>
          </w:p>
        </w:tc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3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3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</w:tr>
      <w:tr w:rsidR="00F173E5" w:rsidTr="00C12471">
        <w:trPr>
          <w:trHeight w:val="468"/>
        </w:trPr>
        <w:tc>
          <w:tcPr>
            <w:tcW w:w="79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Pr="00F173E5" w:rsidRDefault="00F173E5" w:rsidP="00F173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3E5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3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3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73E5" w:rsidRDefault="00F173E5" w:rsidP="00F173E5">
            <w:pPr>
              <w:rPr>
                <w:rFonts w:ascii="Georgia" w:hAnsi="Georgia"/>
                <w:sz w:val="28"/>
              </w:rPr>
            </w:pPr>
          </w:p>
        </w:tc>
      </w:tr>
    </w:tbl>
    <w:p w:rsidR="00C12471" w:rsidRDefault="00C12471" w:rsidP="00181A97"/>
    <w:p w:rsidR="009E64C2" w:rsidRPr="00C12471" w:rsidRDefault="009E64C2" w:rsidP="00181A97">
      <w:pPr>
        <w:rPr>
          <w:b/>
          <w:sz w:val="24"/>
          <w:szCs w:val="24"/>
        </w:rPr>
      </w:pPr>
      <w:r w:rsidRPr="00C12471">
        <w:rPr>
          <w:b/>
          <w:sz w:val="24"/>
          <w:szCs w:val="24"/>
        </w:rPr>
        <w:t>Comprehension:</w:t>
      </w:r>
    </w:p>
    <w:p w:rsidR="00C12471" w:rsidRDefault="009E64C2" w:rsidP="00181A97">
      <w:pPr>
        <w:rPr>
          <w:sz w:val="20"/>
          <w:szCs w:val="20"/>
        </w:rPr>
      </w:pPr>
      <w:r w:rsidRPr="00C12471">
        <w:rPr>
          <w:sz w:val="20"/>
          <w:szCs w:val="20"/>
        </w:rPr>
        <w:t xml:space="preserve">You will want to assess the student’s ability to </w:t>
      </w:r>
      <w:r w:rsidR="00246BC3" w:rsidRPr="00C12471">
        <w:rPr>
          <w:sz w:val="20"/>
          <w:szCs w:val="20"/>
        </w:rPr>
        <w:t xml:space="preserve">tell you the big events so far or in this section/chapter. You will also want to know what they’ve noticed so far about the character. If they are able to tell you the character’s feelings, motivations, and/or relationships, this lets you know they are probably reading between the lines. At about Level 40/R and above, students do not need to provide a sequential retelling but should be able to recognize the big important events. </w:t>
      </w:r>
    </w:p>
    <w:p w:rsidR="00C12471" w:rsidRDefault="00C12471" w:rsidP="00181A97">
      <w:pPr>
        <w:rPr>
          <w:sz w:val="20"/>
          <w:szCs w:val="20"/>
        </w:rPr>
      </w:pPr>
    </w:p>
    <w:p w:rsidR="009E64C2" w:rsidRDefault="00246BC3" w:rsidP="00181A97">
      <w:pPr>
        <w:rPr>
          <w:sz w:val="20"/>
          <w:szCs w:val="20"/>
        </w:rPr>
      </w:pPr>
      <w:r w:rsidRPr="00C12471">
        <w:rPr>
          <w:sz w:val="20"/>
          <w:szCs w:val="20"/>
        </w:rPr>
        <w:t>To gather this information you could ask: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C12471" w:rsidTr="008A4CCF">
        <w:trPr>
          <w:trHeight w:val="1296"/>
        </w:trPr>
        <w:tc>
          <w:tcPr>
            <w:tcW w:w="11016" w:type="dxa"/>
          </w:tcPr>
          <w:p w:rsidR="00C12471" w:rsidRPr="00C12471" w:rsidRDefault="00C12471" w:rsidP="00C124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 what seems important in the story/what has really stuck in your mind so far. </w:t>
            </w:r>
          </w:p>
        </w:tc>
      </w:tr>
      <w:tr w:rsidR="00C12471" w:rsidTr="008A4CCF">
        <w:trPr>
          <w:trHeight w:val="1296"/>
        </w:trPr>
        <w:tc>
          <w:tcPr>
            <w:tcW w:w="11016" w:type="dxa"/>
          </w:tcPr>
          <w:p w:rsidR="00C12471" w:rsidRPr="00C12471" w:rsidRDefault="00C12471" w:rsidP="00C124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why that part seems important. </w:t>
            </w:r>
          </w:p>
        </w:tc>
      </w:tr>
      <w:tr w:rsidR="00C12471" w:rsidTr="008A4CCF">
        <w:trPr>
          <w:trHeight w:val="1296"/>
        </w:trPr>
        <w:tc>
          <w:tcPr>
            <w:tcW w:w="11016" w:type="dxa"/>
          </w:tcPr>
          <w:p w:rsidR="00C12471" w:rsidRPr="00C12471" w:rsidRDefault="00C12471" w:rsidP="00C124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does the story take place? What kind of place is it? </w:t>
            </w:r>
          </w:p>
        </w:tc>
      </w:tr>
      <w:tr w:rsidR="00C12471" w:rsidTr="008A4CCF">
        <w:trPr>
          <w:trHeight w:val="1296"/>
        </w:trPr>
        <w:tc>
          <w:tcPr>
            <w:tcW w:w="11016" w:type="dxa"/>
          </w:tcPr>
          <w:p w:rsidR="00C12471" w:rsidRPr="00C12471" w:rsidRDefault="00C12471" w:rsidP="00C124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what you know about the character so far. </w:t>
            </w:r>
          </w:p>
        </w:tc>
      </w:tr>
      <w:tr w:rsidR="00C12471" w:rsidTr="008A4CCF">
        <w:trPr>
          <w:trHeight w:val="1296"/>
        </w:trPr>
        <w:tc>
          <w:tcPr>
            <w:tcW w:w="11016" w:type="dxa"/>
          </w:tcPr>
          <w:p w:rsidR="00C12471" w:rsidRPr="00C12471" w:rsidRDefault="00C12471" w:rsidP="00C124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this point in the story (or in this section/chapter), what do you imagine the character might be feeling and why? </w:t>
            </w:r>
          </w:p>
        </w:tc>
      </w:tr>
      <w:tr w:rsidR="00C12471" w:rsidTr="008A4CCF">
        <w:trPr>
          <w:trHeight w:val="1296"/>
        </w:trPr>
        <w:tc>
          <w:tcPr>
            <w:tcW w:w="11016" w:type="dxa"/>
          </w:tcPr>
          <w:p w:rsidR="008A4CCF" w:rsidRDefault="00C12471" w:rsidP="00C124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 about any themes or issues you are noticing. </w:t>
            </w:r>
          </w:p>
          <w:p w:rsidR="00C12471" w:rsidRPr="008A4CCF" w:rsidRDefault="008A4CCF" w:rsidP="008A4CCF">
            <w:pPr>
              <w:tabs>
                <w:tab w:val="left" w:pos="6975"/>
              </w:tabs>
            </w:pPr>
            <w:r>
              <w:tab/>
            </w:r>
          </w:p>
        </w:tc>
      </w:tr>
      <w:tr w:rsidR="00C12471" w:rsidTr="008A4CCF">
        <w:trPr>
          <w:trHeight w:val="1296"/>
        </w:trPr>
        <w:tc>
          <w:tcPr>
            <w:tcW w:w="11016" w:type="dxa"/>
          </w:tcPr>
          <w:p w:rsidR="00C12471" w:rsidRPr="00C12471" w:rsidRDefault="00C12471" w:rsidP="00C124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lessons so far that you think the character is learning or could learn? </w:t>
            </w:r>
          </w:p>
        </w:tc>
      </w:tr>
      <w:tr w:rsidR="00C12471" w:rsidTr="008A4CCF">
        <w:trPr>
          <w:trHeight w:val="1296"/>
        </w:trPr>
        <w:tc>
          <w:tcPr>
            <w:tcW w:w="11016" w:type="dxa"/>
          </w:tcPr>
          <w:p w:rsidR="00C12471" w:rsidRPr="00C12471" w:rsidRDefault="00C12471" w:rsidP="00C124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would you describe this genre and what do you know about it? </w:t>
            </w:r>
          </w:p>
        </w:tc>
      </w:tr>
    </w:tbl>
    <w:p w:rsidR="008A4CCF" w:rsidRPr="00C12471" w:rsidRDefault="008A4CCF" w:rsidP="00181A97">
      <w:pPr>
        <w:rPr>
          <w:sz w:val="20"/>
          <w:szCs w:val="20"/>
        </w:rPr>
      </w:pPr>
      <w:r>
        <w:rPr>
          <w:sz w:val="20"/>
          <w:szCs w:val="20"/>
        </w:rPr>
        <w:t xml:space="preserve">The reader does not need to answer every question. This is a sample that will lead you to an understanding of how the student </w:t>
      </w:r>
      <w:proofErr w:type="gramStart"/>
      <w:r>
        <w:rPr>
          <w:sz w:val="20"/>
          <w:szCs w:val="20"/>
        </w:rPr>
        <w:t>is comprehending</w:t>
      </w:r>
      <w:proofErr w:type="gramEnd"/>
      <w:r>
        <w:rPr>
          <w:sz w:val="20"/>
          <w:szCs w:val="20"/>
        </w:rPr>
        <w:t xml:space="preserve"> the text. The first four questions are literal and the last four indicate that the student is able to be insightful about the text.</w:t>
      </w:r>
    </w:p>
    <w:sectPr w:rsidR="008A4CCF" w:rsidRPr="00C12471" w:rsidSect="00335FB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71" w:rsidRDefault="00C12471" w:rsidP="00C12471">
      <w:r>
        <w:separator/>
      </w:r>
    </w:p>
  </w:endnote>
  <w:endnote w:type="continuationSeparator" w:id="0">
    <w:p w:rsidR="00C12471" w:rsidRDefault="00C12471" w:rsidP="00C1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CF" w:rsidRPr="008A4CCF" w:rsidRDefault="008A4CCF">
    <w:pPr>
      <w:pStyle w:val="Footer"/>
      <w:rPr>
        <w:sz w:val="16"/>
        <w:szCs w:val="16"/>
      </w:rPr>
    </w:pPr>
    <w:r w:rsidRPr="008A4CCF">
      <w:rPr>
        <w:sz w:val="16"/>
        <w:szCs w:val="16"/>
      </w:rPr>
      <w:t>*For this assessment to be valid, the student should be matched well to an independent level book. If accuracy or comprehension raise alarms, reassess at a lower level.</w:t>
    </w:r>
  </w:p>
  <w:p w:rsidR="008A4CCF" w:rsidRPr="008A4CCF" w:rsidRDefault="008A4CCF" w:rsidP="008626F9">
    <w:pPr>
      <w:pStyle w:val="Footer"/>
      <w:rPr>
        <w:sz w:val="16"/>
        <w:szCs w:val="16"/>
      </w:rPr>
    </w:pPr>
    <w:r w:rsidRPr="008A4CCF">
      <w:rPr>
        <w:sz w:val="16"/>
        <w:szCs w:val="16"/>
      </w:rPr>
      <w:t>Adapted from TCRWP</w:t>
    </w:r>
    <w:r w:rsidR="008626F9">
      <w:rPr>
        <w:sz w:val="16"/>
        <w:szCs w:val="16"/>
      </w:rPr>
      <w:tab/>
    </w:r>
    <w:r w:rsidR="008626F9">
      <w:rPr>
        <w:sz w:val="16"/>
        <w:szCs w:val="16"/>
      </w:rPr>
      <w:tab/>
      <w:t xml:space="preserve">     </w:t>
    </w:r>
    <w:proofErr w:type="spellStart"/>
    <w:r w:rsidR="008626F9">
      <w:rPr>
        <w:sz w:val="16"/>
        <w:szCs w:val="16"/>
      </w:rPr>
      <w:t>Pastore</w:t>
    </w:r>
    <w:proofErr w:type="spellEnd"/>
    <w:r w:rsidR="008626F9">
      <w:rPr>
        <w:sz w:val="16"/>
        <w:szCs w:val="16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71" w:rsidRDefault="00C12471" w:rsidP="00C12471">
      <w:r>
        <w:separator/>
      </w:r>
    </w:p>
  </w:footnote>
  <w:footnote w:type="continuationSeparator" w:id="0">
    <w:p w:rsidR="00C12471" w:rsidRDefault="00C12471" w:rsidP="00C12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71" w:rsidRPr="00C12471" w:rsidRDefault="008A4CCF" w:rsidP="00C12471">
    <w:pPr>
      <w:jc w:val="right"/>
      <w:rPr>
        <w:b/>
        <w:sz w:val="28"/>
        <w:szCs w:val="28"/>
      </w:rPr>
    </w:pPr>
    <w:r>
      <w:rPr>
        <w:b/>
        <w:sz w:val="28"/>
        <w:szCs w:val="28"/>
      </w:rPr>
      <w:t>*</w:t>
    </w:r>
    <w:r w:rsidR="00C12471" w:rsidRPr="00335FB8">
      <w:rPr>
        <w:b/>
        <w:sz w:val="28"/>
        <w:szCs w:val="28"/>
      </w:rPr>
      <w:t>Reading Assessments for Independent Books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CF0"/>
    <w:multiLevelType w:val="hybridMultilevel"/>
    <w:tmpl w:val="4F00248C"/>
    <w:lvl w:ilvl="0" w:tplc="C498745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E47BCB"/>
    <w:multiLevelType w:val="hybridMultilevel"/>
    <w:tmpl w:val="C2D057F2"/>
    <w:lvl w:ilvl="0" w:tplc="C4987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E0367"/>
    <w:multiLevelType w:val="hybridMultilevel"/>
    <w:tmpl w:val="6DD02F86"/>
    <w:lvl w:ilvl="0" w:tplc="C4987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B39E2"/>
    <w:multiLevelType w:val="hybridMultilevel"/>
    <w:tmpl w:val="AA8C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FB8"/>
    <w:rsid w:val="0013564C"/>
    <w:rsid w:val="00181A97"/>
    <w:rsid w:val="00237843"/>
    <w:rsid w:val="00246BC3"/>
    <w:rsid w:val="002E6285"/>
    <w:rsid w:val="003121BA"/>
    <w:rsid w:val="0033120B"/>
    <w:rsid w:val="00335FB8"/>
    <w:rsid w:val="003D7106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75A88"/>
    <w:rsid w:val="007C1094"/>
    <w:rsid w:val="008626F9"/>
    <w:rsid w:val="00880904"/>
    <w:rsid w:val="0088617F"/>
    <w:rsid w:val="00891E81"/>
    <w:rsid w:val="008A4CCF"/>
    <w:rsid w:val="008A7DF6"/>
    <w:rsid w:val="009229B7"/>
    <w:rsid w:val="009630FD"/>
    <w:rsid w:val="00983AFD"/>
    <w:rsid w:val="009B6A3A"/>
    <w:rsid w:val="009D3555"/>
    <w:rsid w:val="009E64C2"/>
    <w:rsid w:val="00A0276A"/>
    <w:rsid w:val="00AC037F"/>
    <w:rsid w:val="00B0493A"/>
    <w:rsid w:val="00B261E0"/>
    <w:rsid w:val="00BA0895"/>
    <w:rsid w:val="00C12471"/>
    <w:rsid w:val="00C555E2"/>
    <w:rsid w:val="00D60D89"/>
    <w:rsid w:val="00E439DF"/>
    <w:rsid w:val="00E63BCD"/>
    <w:rsid w:val="00E67DDB"/>
    <w:rsid w:val="00EF2725"/>
    <w:rsid w:val="00F173E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71"/>
  </w:style>
  <w:style w:type="paragraph" w:styleId="Footer">
    <w:name w:val="footer"/>
    <w:basedOn w:val="Normal"/>
    <w:link w:val="FooterChar"/>
    <w:uiPriority w:val="99"/>
    <w:semiHidden/>
    <w:unhideWhenUsed/>
    <w:rsid w:val="00C12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</cp:lastModifiedBy>
  <cp:revision>2</cp:revision>
  <cp:lastPrinted>2014-10-20T21:49:00Z</cp:lastPrinted>
  <dcterms:created xsi:type="dcterms:W3CDTF">2014-10-22T19:10:00Z</dcterms:created>
  <dcterms:modified xsi:type="dcterms:W3CDTF">2014-10-22T19:10:00Z</dcterms:modified>
</cp:coreProperties>
</file>